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09615C" w:rsidTr="006816EC">
        <w:trPr>
          <w:jc w:val="center"/>
        </w:trPr>
        <w:tc>
          <w:tcPr>
            <w:tcW w:w="743" w:type="dxa"/>
            <w:hideMark/>
          </w:tcPr>
          <w:p w:rsidR="006816EC" w:rsidRPr="0009615C" w:rsidRDefault="00FB3C14">
            <w:pPr>
              <w:jc w:val="both"/>
              <w:rPr>
                <w:rFonts w:ascii="Arial (W1)" w:hAnsi="Arial (W1)"/>
                <w:b/>
                <w:bCs/>
                <w:sz w:val="26"/>
                <w:szCs w:val="26"/>
              </w:rPr>
            </w:pPr>
            <w:r w:rsidRPr="0009615C">
              <w:rPr>
                <w:rFonts w:hint="cs"/>
                <w:b/>
                <w:bCs/>
                <w:sz w:val="26"/>
                <w:szCs w:val="26"/>
                <w:rtl/>
              </w:rPr>
              <w:t>ל</w:t>
            </w:r>
            <w:r w:rsidR="006816EC" w:rsidRPr="0009615C">
              <w:rPr>
                <w:rFonts w:hint="cs"/>
                <w:b/>
                <w:bCs/>
                <w:sz w:val="26"/>
                <w:szCs w:val="26"/>
                <w:rtl/>
              </w:rPr>
              <w:t xml:space="preserve">פני </w:t>
            </w:r>
          </w:p>
        </w:tc>
        <w:tc>
          <w:tcPr>
            <w:tcW w:w="8077" w:type="dxa"/>
            <w:gridSpan w:val="2"/>
            <w:hideMark/>
          </w:tcPr>
          <w:p w:rsidR="006816EC" w:rsidRPr="0009615C" w:rsidRDefault="00B32C61" w:rsidP="006816EC">
            <w:pPr>
              <w:rPr>
                <w:rFonts w:ascii="Arial" w:hAnsi="Arial"/>
                <w:b/>
                <w:bCs/>
                <w:sz w:val="26"/>
                <w:szCs w:val="26"/>
                <w:rtl/>
              </w:rPr>
            </w:pPr>
            <w:r w:rsidRPr="0009615C">
              <w:rPr>
                <w:rFonts w:ascii="Arial" w:hAnsi="Arial" w:hint="cs"/>
                <w:b/>
                <w:bCs/>
                <w:sz w:val="26"/>
                <w:szCs w:val="26"/>
                <w:rtl/>
              </w:rPr>
              <w:t>כבוד</w:t>
            </w:r>
            <w:r w:rsidR="006816EC" w:rsidRPr="0009615C">
              <w:rPr>
                <w:rFonts w:ascii="Arial" w:hAnsi="Arial" w:hint="cs"/>
                <w:b/>
                <w:bCs/>
                <w:sz w:val="26"/>
                <w:szCs w:val="26"/>
                <w:rtl/>
              </w:rPr>
              <w:t xml:space="preserve"> ה</w:t>
            </w:r>
            <w:r w:rsidRPr="0009615C">
              <w:rPr>
                <w:rFonts w:ascii="Arial" w:hAnsi="Arial"/>
                <w:b/>
                <w:bCs/>
                <w:sz w:val="26"/>
                <w:szCs w:val="26"/>
                <w:rtl/>
              </w:rPr>
              <w:t>שופטת</w:t>
            </w:r>
            <w:r w:rsidR="006816EC" w:rsidRPr="0009615C">
              <w:rPr>
                <w:rFonts w:ascii="Arial" w:hAnsi="Arial" w:hint="cs"/>
                <w:b/>
                <w:bCs/>
                <w:sz w:val="26"/>
                <w:szCs w:val="26"/>
                <w:rtl/>
              </w:rPr>
              <w:t xml:space="preserve">  </w:t>
            </w:r>
            <w:r w:rsidRPr="0009615C">
              <w:rPr>
                <w:rFonts w:ascii="Arial" w:hAnsi="Arial"/>
                <w:b/>
                <w:bCs/>
                <w:sz w:val="26"/>
                <w:szCs w:val="26"/>
                <w:rtl/>
              </w:rPr>
              <w:t>אספרנצה אלון</w:t>
            </w:r>
          </w:p>
          <w:p w:rsidR="006816EC" w:rsidRPr="0009615C" w:rsidRDefault="006816EC" w:rsidP="006816EC">
            <w:pPr>
              <w:rPr>
                <w:sz w:val="26"/>
                <w:szCs w:val="26"/>
              </w:rPr>
            </w:pPr>
          </w:p>
        </w:tc>
      </w:tr>
      <w:tr w:rsidR="006816EC" w:rsidTr="006816EC">
        <w:trPr>
          <w:jc w:val="center"/>
        </w:trPr>
        <w:tc>
          <w:tcPr>
            <w:tcW w:w="3249" w:type="dxa"/>
            <w:gridSpan w:val="2"/>
          </w:tcPr>
          <w:p w:rsidR="006816EC" w:rsidRPr="00BE49B4" w:rsidRDefault="00BE49B4" w:rsidP="00BE49B4">
            <w:pPr>
              <w:jc w:val="both"/>
              <w:rPr>
                <w:rFonts w:ascii="Arial (W1)" w:hAnsi="Arial (W1)"/>
                <w:b/>
                <w:bCs/>
                <w:noProof w:val="0"/>
                <w:sz w:val="26"/>
                <w:szCs w:val="26"/>
                <w:rtl/>
              </w:rPr>
            </w:pPr>
            <w:r w:rsidRPr="00BE49B4">
              <w:rPr>
                <w:rFonts w:ascii="Arial (W1)" w:hAnsi="Arial (W1)" w:hint="cs"/>
                <w:b/>
                <w:bCs/>
                <w:noProof w:val="0"/>
                <w:sz w:val="26"/>
                <w:szCs w:val="26"/>
                <w:rtl/>
              </w:rPr>
              <w:t>הקטינה</w:t>
            </w:r>
          </w:p>
          <w:p w:rsidR="00BE49B4" w:rsidRDefault="00BE49B4">
            <w:pPr>
              <w:rPr>
                <w:b/>
                <w:bCs/>
                <w:noProof w:val="0"/>
                <w:sz w:val="28"/>
                <w:rtl/>
              </w:rPr>
            </w:pPr>
          </w:p>
          <w:p w:rsidR="00BE49B4" w:rsidRDefault="00BE49B4">
            <w:pPr>
              <w:rPr>
                <w:b/>
                <w:bCs/>
                <w:noProof w:val="0"/>
                <w:sz w:val="28"/>
                <w:rtl/>
              </w:rPr>
            </w:pPr>
          </w:p>
          <w:p w:rsidR="000C00F3" w:rsidRDefault="00BE49B4">
            <w:pPr>
              <w:rPr>
                <w:rFonts w:ascii="Arial (W1)" w:hAnsi="Arial (W1)"/>
                <w:b/>
                <w:bCs/>
                <w:noProof w:val="0"/>
                <w:sz w:val="28"/>
                <w:szCs w:val="28"/>
              </w:rPr>
            </w:pPr>
            <w:r w:rsidRPr="00BE49B4">
              <w:rPr>
                <w:rFonts w:hint="cs"/>
                <w:b/>
                <w:bCs/>
                <w:noProof w:val="0"/>
                <w:sz w:val="30"/>
                <w:szCs w:val="26"/>
                <w:rtl/>
              </w:rPr>
              <w:t>המערער</w:t>
            </w:r>
          </w:p>
        </w:tc>
        <w:tc>
          <w:tcPr>
            <w:tcW w:w="5571" w:type="dxa"/>
          </w:tcPr>
          <w:p w:rsidR="006816EC" w:rsidRPr="00BE49B4" w:rsidRDefault="00BE49B4" w:rsidP="002051B0">
            <w:pPr>
              <w:rPr>
                <w:rFonts w:ascii="Arial (W1)" w:hAnsi="Arial (W1)"/>
                <w:b/>
                <w:bCs/>
                <w:noProof w:val="0"/>
                <w:sz w:val="26"/>
                <w:szCs w:val="26"/>
                <w:rtl/>
              </w:rPr>
            </w:pPr>
            <w:r w:rsidRPr="00BE49B4">
              <w:rPr>
                <w:rFonts w:ascii="Arial (W1)" w:hAnsi="Arial (W1)" w:hint="cs"/>
                <w:b/>
                <w:bCs/>
                <w:noProof w:val="0"/>
                <w:sz w:val="26"/>
                <w:szCs w:val="26"/>
                <w:rtl/>
              </w:rPr>
              <w:t>צ</w:t>
            </w:r>
            <w:r w:rsidR="002051B0">
              <w:rPr>
                <w:rFonts w:ascii="Arial (W1)" w:hAnsi="Arial (W1)" w:hint="cs"/>
                <w:b/>
                <w:bCs/>
                <w:noProof w:val="0"/>
                <w:sz w:val="26"/>
                <w:szCs w:val="26"/>
                <w:rtl/>
              </w:rPr>
              <w:t>'</w:t>
            </w:r>
            <w:r w:rsidRPr="00BE49B4">
              <w:rPr>
                <w:rFonts w:ascii="Arial (W1)" w:hAnsi="Arial (W1)" w:hint="cs"/>
                <w:b/>
                <w:bCs/>
                <w:noProof w:val="0"/>
                <w:sz w:val="26"/>
                <w:szCs w:val="26"/>
                <w:rtl/>
              </w:rPr>
              <w:t xml:space="preserve">, ת"ז </w:t>
            </w:r>
            <w:r w:rsidR="002051B0" w:rsidRPr="002051B0">
              <w:rPr>
                <w:rFonts w:ascii="David" w:hAnsi="David"/>
                <w:b/>
                <w:bCs/>
                <w:noProof w:val="0"/>
                <w:sz w:val="20"/>
                <w:szCs w:val="20"/>
              </w:rPr>
              <w:t>XXXXXXXXX</w:t>
            </w:r>
          </w:p>
          <w:p w:rsidR="00BE49B4" w:rsidRPr="00BE49B4" w:rsidRDefault="00BE49B4">
            <w:pPr>
              <w:rPr>
                <w:rFonts w:ascii="Arial (W1)" w:hAnsi="Arial (W1)"/>
                <w:b/>
                <w:bCs/>
                <w:noProof w:val="0"/>
                <w:rtl/>
              </w:rPr>
            </w:pPr>
            <w:r w:rsidRPr="00BE49B4">
              <w:rPr>
                <w:rFonts w:ascii="Arial (W1)" w:hAnsi="Arial (W1)" w:hint="cs"/>
                <w:b/>
                <w:bCs/>
                <w:noProof w:val="0"/>
                <w:rtl/>
              </w:rPr>
              <w:t xml:space="preserve">באמצעות </w:t>
            </w:r>
            <w:r>
              <w:rPr>
                <w:rFonts w:ascii="Arial (W1)" w:hAnsi="Arial (W1)" w:hint="cs"/>
                <w:b/>
                <w:bCs/>
                <w:noProof w:val="0"/>
                <w:rtl/>
              </w:rPr>
              <w:t xml:space="preserve">אפוטרופוס לדין </w:t>
            </w:r>
            <w:r>
              <w:rPr>
                <w:rFonts w:ascii="Arial (W1)" w:hAnsi="Arial (W1)"/>
                <w:b/>
                <w:bCs/>
                <w:noProof w:val="0"/>
                <w:rtl/>
              </w:rPr>
              <w:t>–</w:t>
            </w:r>
            <w:r>
              <w:rPr>
                <w:rFonts w:ascii="Arial (W1)" w:hAnsi="Arial (W1)" w:hint="cs"/>
                <w:b/>
                <w:bCs/>
                <w:noProof w:val="0"/>
                <w:rtl/>
              </w:rPr>
              <w:t xml:space="preserve"> עו"ד רון סנדרס</w:t>
            </w:r>
          </w:p>
          <w:p w:rsidR="00BE49B4" w:rsidRDefault="00BE49B4">
            <w:pPr>
              <w:rPr>
                <w:rFonts w:ascii="Arial (W1)" w:hAnsi="Arial (W1)"/>
                <w:b/>
                <w:bCs/>
                <w:noProof w:val="0"/>
                <w:sz w:val="28"/>
                <w:szCs w:val="28"/>
                <w:rtl/>
              </w:rPr>
            </w:pPr>
          </w:p>
          <w:p w:rsidR="00BE49B4" w:rsidRPr="00BE49B4" w:rsidRDefault="002051B0" w:rsidP="002051B0">
            <w:pPr>
              <w:rPr>
                <w:rFonts w:ascii="Arial" w:hAnsi="Arial"/>
                <w:b/>
                <w:bCs/>
                <w:noProof w:val="0"/>
                <w:sz w:val="28"/>
                <w:szCs w:val="28"/>
                <w:rtl/>
              </w:rPr>
            </w:pPr>
            <w:r>
              <w:rPr>
                <w:rFonts w:hint="cs"/>
                <w:b/>
                <w:bCs/>
                <w:noProof w:val="0"/>
                <w:sz w:val="30"/>
                <w:szCs w:val="26"/>
                <w:rtl/>
              </w:rPr>
              <w:t>ב'</w:t>
            </w:r>
            <w:r w:rsidR="009C358E" w:rsidRPr="00BE49B4">
              <w:rPr>
                <w:rFonts w:hint="cs"/>
                <w:b/>
                <w:bCs/>
                <w:noProof w:val="0"/>
                <w:sz w:val="30"/>
                <w:szCs w:val="26"/>
                <w:rtl/>
              </w:rPr>
              <w:t xml:space="preserve"> </w:t>
            </w:r>
            <w:r w:rsidR="00FB3C14" w:rsidRPr="00BE49B4">
              <w:rPr>
                <w:rFonts w:hint="eastAsia"/>
                <w:b/>
                <w:bCs/>
                <w:noProof w:val="0"/>
                <w:sz w:val="30"/>
                <w:szCs w:val="26"/>
                <w:rtl/>
              </w:rPr>
              <w:t>ת"ז</w:t>
            </w:r>
            <w:r w:rsidR="009C358E" w:rsidRPr="00BE49B4">
              <w:rPr>
                <w:rFonts w:hint="cs"/>
                <w:b/>
                <w:bCs/>
                <w:noProof w:val="0"/>
                <w:sz w:val="30"/>
                <w:szCs w:val="26"/>
                <w:rtl/>
              </w:rPr>
              <w:t xml:space="preserve"> </w:t>
            </w:r>
            <w:r w:rsidRPr="002051B0">
              <w:rPr>
                <w:rFonts w:ascii="David" w:hAnsi="David"/>
                <w:b/>
                <w:bCs/>
                <w:noProof w:val="0"/>
                <w:sz w:val="20"/>
                <w:szCs w:val="20"/>
              </w:rPr>
              <w:t>XXXXXXXXX</w:t>
            </w:r>
          </w:p>
          <w:p w:rsidR="006816EC" w:rsidRDefault="00BE49B4" w:rsidP="00BE49B4">
            <w:pPr>
              <w:rPr>
                <w:rFonts w:ascii="Arial (W1)" w:hAnsi="Arial (W1)"/>
                <w:b/>
                <w:bCs/>
                <w:noProof w:val="0"/>
                <w:sz w:val="28"/>
                <w:szCs w:val="28"/>
              </w:rPr>
            </w:pPr>
            <w:r>
              <w:rPr>
                <w:rFonts w:ascii="Arial" w:hAnsi="Arial"/>
                <w:b/>
                <w:bCs/>
                <w:noProof w:val="0"/>
                <w:rtl/>
              </w:rPr>
              <w:t>ע"י ב"כ עוה</w:t>
            </w:r>
            <w:r>
              <w:rPr>
                <w:rFonts w:ascii="Arial" w:hAnsi="Arial" w:hint="cs"/>
                <w:b/>
                <w:bCs/>
                <w:noProof w:val="0"/>
                <w:rtl/>
              </w:rPr>
              <w:t>"ד גילה ברזילי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RPr="00BE49B4" w:rsidTr="006816EC">
        <w:trPr>
          <w:jc w:val="center"/>
        </w:trPr>
        <w:tc>
          <w:tcPr>
            <w:tcW w:w="3249" w:type="dxa"/>
            <w:gridSpan w:val="2"/>
          </w:tcPr>
          <w:p w:rsidR="006816EC" w:rsidRPr="00BE49B4" w:rsidRDefault="00BE49B4">
            <w:pPr>
              <w:rPr>
                <w:rFonts w:ascii="Arial (W1)" w:hAnsi="Arial (W1)"/>
                <w:b/>
                <w:bCs/>
                <w:noProof w:val="0"/>
                <w:sz w:val="26"/>
                <w:szCs w:val="26"/>
              </w:rPr>
            </w:pPr>
            <w:r w:rsidRPr="00BE49B4">
              <w:rPr>
                <w:rFonts w:hint="cs"/>
                <w:b/>
                <w:bCs/>
                <w:noProof w:val="0"/>
                <w:sz w:val="26"/>
                <w:szCs w:val="26"/>
                <w:rtl/>
              </w:rPr>
              <w:t>ה</w:t>
            </w:r>
            <w:r w:rsidR="00FB3C14" w:rsidRPr="00BE49B4">
              <w:rPr>
                <w:rFonts w:hint="cs"/>
                <w:b/>
                <w:bCs/>
                <w:noProof w:val="0"/>
                <w:sz w:val="26"/>
                <w:szCs w:val="26"/>
                <w:rtl/>
              </w:rPr>
              <w:t>משיבים</w:t>
            </w:r>
          </w:p>
        </w:tc>
        <w:tc>
          <w:tcPr>
            <w:tcW w:w="5571" w:type="dxa"/>
          </w:tcPr>
          <w:p w:rsidR="006816EC" w:rsidRDefault="00BE49B4" w:rsidP="00BE49B4">
            <w:pPr>
              <w:rPr>
                <w:rFonts w:ascii="Arial (W1)" w:hAnsi="Arial (W1)"/>
                <w:b/>
                <w:bCs/>
                <w:noProof w:val="0"/>
                <w:sz w:val="26"/>
                <w:szCs w:val="26"/>
                <w:rtl/>
              </w:rPr>
            </w:pPr>
            <w:r w:rsidRPr="00BE49B4">
              <w:rPr>
                <w:rFonts w:ascii="Arial (W1)" w:hAnsi="Arial (W1)" w:hint="cs"/>
                <w:b/>
                <w:bCs/>
                <w:noProof w:val="0"/>
                <w:sz w:val="26"/>
                <w:szCs w:val="26"/>
                <w:rtl/>
              </w:rPr>
              <w:t>1. המחלקה</w:t>
            </w:r>
            <w:r>
              <w:rPr>
                <w:rFonts w:ascii="Arial (W1)" w:hAnsi="Arial (W1)" w:hint="cs"/>
                <w:b/>
                <w:bCs/>
                <w:noProof w:val="0"/>
                <w:sz w:val="26"/>
                <w:szCs w:val="26"/>
                <w:rtl/>
              </w:rPr>
              <w:t xml:space="preserve"> לשירותים חברתיים </w:t>
            </w:r>
            <w:r>
              <w:rPr>
                <w:rFonts w:ascii="Arial (W1)" w:hAnsi="Arial (W1)"/>
                <w:b/>
                <w:bCs/>
                <w:noProof w:val="0"/>
                <w:sz w:val="26"/>
                <w:szCs w:val="26"/>
                <w:rtl/>
              </w:rPr>
              <w:t>–</w:t>
            </w:r>
            <w:r>
              <w:rPr>
                <w:rFonts w:ascii="Arial (W1)" w:hAnsi="Arial (W1)" w:hint="cs"/>
                <w:b/>
                <w:bCs/>
                <w:noProof w:val="0"/>
                <w:sz w:val="26"/>
                <w:szCs w:val="26"/>
                <w:rtl/>
              </w:rPr>
              <w:t xml:space="preserve"> עיריית חיפה</w:t>
            </w:r>
          </w:p>
          <w:p w:rsidR="00BE49B4" w:rsidRDefault="00BE49B4" w:rsidP="00BE49B4">
            <w:pPr>
              <w:rPr>
                <w:rFonts w:ascii="Arial (W1)" w:hAnsi="Arial (W1)"/>
                <w:b/>
                <w:bCs/>
                <w:noProof w:val="0"/>
                <w:sz w:val="26"/>
                <w:szCs w:val="26"/>
                <w:rtl/>
              </w:rPr>
            </w:pPr>
            <w:r>
              <w:rPr>
                <w:rFonts w:ascii="Arial (W1)" w:hAnsi="Arial (W1)" w:hint="cs"/>
                <w:b/>
                <w:bCs/>
                <w:noProof w:val="0"/>
                <w:sz w:val="26"/>
                <w:szCs w:val="26"/>
                <w:rtl/>
              </w:rPr>
              <w:t>2. היועצת המשפטית לממשלה</w:t>
            </w:r>
          </w:p>
          <w:p w:rsidR="00BE49B4" w:rsidRPr="00BE49B4" w:rsidRDefault="00BE49B4" w:rsidP="00BE49B4">
            <w:pPr>
              <w:rPr>
                <w:rFonts w:ascii="Arial (W1)" w:hAnsi="Arial (W1)"/>
                <w:b/>
                <w:bCs/>
                <w:noProof w:val="0"/>
                <w:sz w:val="26"/>
                <w:szCs w:val="26"/>
              </w:rPr>
            </w:pPr>
            <w:r w:rsidRPr="00BE49B4">
              <w:rPr>
                <w:rFonts w:ascii="Arial (W1)" w:hAnsi="Arial (W1)" w:hint="cs"/>
                <w:b/>
                <w:bCs/>
                <w:noProof w:val="0"/>
                <w:rtl/>
              </w:rPr>
              <w:t>ע"י ב"כ עוה"ד נעמה שמולביץ</w:t>
            </w: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F5341F">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BE49B4" w:rsidRDefault="00BE49B4" w:rsidP="00F5341F">
      <w:pPr>
        <w:spacing w:line="360" w:lineRule="auto"/>
        <w:ind w:left="720" w:hanging="720"/>
        <w:jc w:val="both"/>
        <w:rPr>
          <w:rFonts w:ascii="Arial" w:hAnsi="Arial"/>
          <w:noProof w:val="0"/>
          <w:rtl/>
        </w:rPr>
      </w:pPr>
      <w:r w:rsidRPr="00BE49B4">
        <w:rPr>
          <w:rFonts w:ascii="Arial" w:hAnsi="Arial" w:hint="cs"/>
          <w:noProof w:val="0"/>
          <w:rtl/>
        </w:rPr>
        <w:t>1.</w:t>
      </w:r>
      <w:r>
        <w:rPr>
          <w:rFonts w:ascii="Arial" w:hAnsi="Arial"/>
          <w:noProof w:val="0"/>
          <w:rtl/>
        </w:rPr>
        <w:tab/>
      </w:r>
      <w:r>
        <w:rPr>
          <w:rFonts w:ascii="Arial" w:hAnsi="Arial" w:hint="cs"/>
          <w:noProof w:val="0"/>
          <w:rtl/>
        </w:rPr>
        <w:t xml:space="preserve">המערער הגיש ערעור על החלטת בית משפט לנוער (כב' השופטת עדנה בן לוי), </w:t>
      </w:r>
      <w:r w:rsidR="0009615C">
        <w:rPr>
          <w:rFonts w:ascii="Arial" w:hAnsi="Arial" w:hint="cs"/>
          <w:noProof w:val="0"/>
          <w:rtl/>
        </w:rPr>
        <w:t xml:space="preserve">בתיק תנ"ז 25614-02-24 (להלן: </w:t>
      </w:r>
      <w:r w:rsidR="0009615C" w:rsidRPr="0009615C">
        <w:rPr>
          <w:rFonts w:ascii="Arial" w:hAnsi="Arial" w:hint="cs"/>
          <w:b/>
          <w:bCs/>
          <w:noProof w:val="0"/>
          <w:rtl/>
        </w:rPr>
        <w:t>"בית משפט קמא"</w:t>
      </w:r>
      <w:r w:rsidR="0009615C">
        <w:rPr>
          <w:rFonts w:ascii="Arial" w:hAnsi="Arial" w:hint="cs"/>
          <w:noProof w:val="0"/>
          <w:rtl/>
        </w:rPr>
        <w:t xml:space="preserve">) אשר דחתה את בקשתו לעיון מחדש בהחלטה, בה הורה בית משפט קמא על הפסקת הביקורים שבין המערער לבין בתו הקטינה, בשל ריבוי המקרים בהם איחר לפגוש את בתו, ללא סיבה (להלן: </w:t>
      </w:r>
      <w:r w:rsidR="0009615C" w:rsidRPr="0009615C">
        <w:rPr>
          <w:rFonts w:ascii="Arial" w:hAnsi="Arial" w:hint="cs"/>
          <w:b/>
          <w:bCs/>
          <w:noProof w:val="0"/>
          <w:rtl/>
        </w:rPr>
        <w:t>"ההחלטה מיום 15/8/2024"</w:t>
      </w:r>
      <w:r w:rsidR="0009615C">
        <w:rPr>
          <w:rFonts w:ascii="Arial" w:hAnsi="Arial" w:hint="cs"/>
          <w:noProof w:val="0"/>
          <w:rtl/>
        </w:rPr>
        <w:t>). בהחלטתו מיום 22/8/2024 קבע בית משפט קמא, כדלקמן:</w:t>
      </w:r>
    </w:p>
    <w:p w:rsidR="00D44FDE" w:rsidRDefault="00D44FDE" w:rsidP="00D44FDE"/>
    <w:p w:rsidR="00D44FDE" w:rsidRPr="00D44FDE" w:rsidRDefault="00D44FDE" w:rsidP="00D44FDE">
      <w:pPr>
        <w:spacing w:line="360" w:lineRule="auto"/>
        <w:ind w:left="1134" w:right="1134"/>
        <w:jc w:val="both"/>
        <w:rPr>
          <w:rFonts w:ascii="Arial" w:hAnsi="Arial"/>
          <w:b/>
          <w:bCs/>
          <w:noProof w:val="0"/>
          <w:rtl/>
        </w:rPr>
      </w:pPr>
      <w:r w:rsidRPr="00D44FDE">
        <w:rPr>
          <w:rFonts w:ascii="Arial" w:hAnsi="Arial" w:hint="cs"/>
          <w:b/>
          <w:bCs/>
          <w:noProof w:val="0"/>
          <w:rtl/>
        </w:rPr>
        <w:t>"</w:t>
      </w:r>
      <w:r w:rsidRPr="00D44FDE">
        <w:rPr>
          <w:rFonts w:ascii="Arial" w:hAnsi="Arial"/>
          <w:b/>
          <w:bCs/>
          <w:noProof w:val="0"/>
          <w:rtl/>
        </w:rPr>
        <w:t>אין מקום לבקשת המשיב לעיין מחדש בהחלטה שהתקבלה ב- 15.8.24.</w:t>
      </w:r>
    </w:p>
    <w:p w:rsidR="00D44FDE" w:rsidRPr="00D44FDE" w:rsidRDefault="00D44FDE" w:rsidP="00EF03D3">
      <w:pPr>
        <w:spacing w:line="360" w:lineRule="auto"/>
        <w:ind w:left="1134" w:right="1134" w:hanging="720"/>
        <w:jc w:val="both"/>
        <w:rPr>
          <w:rFonts w:ascii="Arial" w:hAnsi="Arial"/>
          <w:b/>
          <w:bCs/>
          <w:noProof w:val="0"/>
          <w:rtl/>
        </w:rPr>
      </w:pPr>
      <w:r w:rsidRPr="00D44FDE">
        <w:rPr>
          <w:rFonts w:ascii="Arial" w:hAnsi="Arial"/>
          <w:b/>
          <w:bCs/>
          <w:noProof w:val="0"/>
          <w:rtl/>
        </w:rPr>
        <w:tab/>
        <w:t>ב-15.7.24 התקיים דיון ארוך בו נשמעו גם טענות המשיב  גם על ידי באת כוחו וגם ישירות מפי</w:t>
      </w:r>
      <w:r w:rsidR="00EF03D3">
        <w:rPr>
          <w:rFonts w:ascii="Arial" w:hAnsi="Arial"/>
          <w:b/>
          <w:bCs/>
          <w:noProof w:val="0"/>
          <w:rtl/>
        </w:rPr>
        <w:t xml:space="preserve"> המשיב [המבקש כאן] עצמו. בדיון</w:t>
      </w:r>
      <w:r w:rsidRPr="00D44FDE">
        <w:rPr>
          <w:rFonts w:ascii="Arial" w:hAnsi="Arial"/>
          <w:b/>
          <w:bCs/>
          <w:noProof w:val="0"/>
          <w:rtl/>
        </w:rPr>
        <w:t xml:space="preserve"> הי</w:t>
      </w:r>
      <w:r w:rsidR="00EF03D3">
        <w:rPr>
          <w:rFonts w:ascii="Arial" w:hAnsi="Arial" w:hint="cs"/>
          <w:b/>
          <w:bCs/>
          <w:noProof w:val="0"/>
          <w:rtl/>
        </w:rPr>
        <w:t>י</w:t>
      </w:r>
      <w:r w:rsidRPr="00D44FDE">
        <w:rPr>
          <w:rFonts w:ascii="Arial" w:hAnsi="Arial"/>
          <w:b/>
          <w:bCs/>
          <w:noProof w:val="0"/>
          <w:rtl/>
        </w:rPr>
        <w:t>תה התייחסות רחבה לנושא האיחורים  של המשיב למפגשים. נשמעו  טענות המשיב לגבי הסיבות לכך. תוך התייחסות לטענותיו של המשיב, ניתנה ההחלטה באותו מועד, כאשר הובהר כבר אז, כאמור בסעיף 3, כי  לא יהיו איחורים אלא במקרים מיוחדים מאד [בטעות הודפס "מיוחסים"]. משכך , די בדיווח שהועבר אלי על מנת לקבל החלטה.</w:t>
      </w:r>
    </w:p>
    <w:p w:rsidR="00D44FDE" w:rsidRPr="00D44FDE" w:rsidRDefault="00D44FDE" w:rsidP="00EF03D3">
      <w:pPr>
        <w:spacing w:line="360" w:lineRule="auto"/>
        <w:ind w:left="1134" w:right="1134" w:hanging="720"/>
        <w:jc w:val="both"/>
        <w:rPr>
          <w:rFonts w:ascii="Arial" w:hAnsi="Arial"/>
          <w:b/>
          <w:bCs/>
          <w:noProof w:val="0"/>
          <w:rtl/>
        </w:rPr>
      </w:pPr>
      <w:r w:rsidRPr="00D44FDE">
        <w:rPr>
          <w:rFonts w:ascii="Arial" w:hAnsi="Arial"/>
          <w:b/>
          <w:bCs/>
          <w:noProof w:val="0"/>
          <w:rtl/>
        </w:rPr>
        <w:tab/>
        <w:t xml:space="preserve">אין בכוונתי לדון בסיבת כל איחור. או שהמשיב מבין טיב אחריות הורית ומשמעות הגעה במועד למפגש עם בתו, או שלא. איחורים אינם גזירת גורל אלא דרך התנהלות שניתן וצריך לשנות.  </w:t>
      </w:r>
    </w:p>
    <w:p w:rsidR="00D44FDE" w:rsidRPr="00D44FDE" w:rsidRDefault="00D44FDE" w:rsidP="00D44FDE">
      <w:pPr>
        <w:spacing w:line="360" w:lineRule="auto"/>
        <w:ind w:left="1134" w:right="1134" w:hanging="720"/>
        <w:jc w:val="both"/>
        <w:rPr>
          <w:rFonts w:ascii="Arial" w:hAnsi="Arial"/>
          <w:b/>
          <w:bCs/>
          <w:noProof w:val="0"/>
          <w:rtl/>
        </w:rPr>
      </w:pPr>
      <w:r w:rsidRPr="00D44FDE">
        <w:rPr>
          <w:rFonts w:ascii="Arial" w:hAnsi="Arial"/>
          <w:b/>
          <w:bCs/>
          <w:noProof w:val="0"/>
          <w:rtl/>
        </w:rPr>
        <w:tab/>
        <w:t>ככל שיש למשיב קשיים, תגובש תוכנית מפגשים כזו שהמשיב יוכל לעמוד בה ללא איחורים.</w:t>
      </w:r>
    </w:p>
    <w:p w:rsidR="00D44FDE" w:rsidRPr="00D44FDE" w:rsidRDefault="00D44FDE" w:rsidP="00D44FDE">
      <w:pPr>
        <w:spacing w:line="360" w:lineRule="auto"/>
        <w:ind w:left="1134" w:right="1134" w:hanging="720"/>
        <w:jc w:val="both"/>
        <w:rPr>
          <w:rFonts w:ascii="Arial" w:hAnsi="Arial"/>
          <w:noProof w:val="0"/>
          <w:rtl/>
        </w:rPr>
      </w:pPr>
      <w:r w:rsidRPr="00D44FDE">
        <w:rPr>
          <w:rFonts w:ascii="Arial" w:hAnsi="Arial"/>
          <w:b/>
          <w:bCs/>
          <w:noProof w:val="0"/>
          <w:rtl/>
        </w:rPr>
        <w:tab/>
        <w:t>עד לגיבוש תוכנית מפגשים שהמשיב יוכל לעמוד בה – אין שינוי בהחלטה</w:t>
      </w:r>
      <w:r>
        <w:rPr>
          <w:rFonts w:ascii="Arial" w:hAnsi="Arial" w:hint="cs"/>
          <w:b/>
          <w:bCs/>
          <w:noProof w:val="0"/>
          <w:rtl/>
        </w:rPr>
        <w:t>.</w:t>
      </w:r>
      <w:r w:rsidRPr="00D44FDE">
        <w:rPr>
          <w:rFonts w:ascii="Arial" w:hAnsi="Arial" w:hint="cs"/>
          <w:b/>
          <w:bCs/>
          <w:noProof w:val="0"/>
          <w:rtl/>
        </w:rPr>
        <w:t>"</w:t>
      </w:r>
      <w:r>
        <w:rPr>
          <w:rFonts w:ascii="Arial" w:hAnsi="Arial" w:hint="cs"/>
          <w:noProof w:val="0"/>
          <w:rtl/>
        </w:rPr>
        <w:t xml:space="preserve"> </w:t>
      </w:r>
      <w:r w:rsidR="0037231D">
        <w:rPr>
          <w:rFonts w:ascii="Arial" w:hAnsi="Arial" w:hint="cs"/>
          <w:noProof w:val="0"/>
          <w:rtl/>
        </w:rPr>
        <w:t xml:space="preserve">                                         </w:t>
      </w:r>
      <w:r>
        <w:rPr>
          <w:rFonts w:ascii="Arial" w:hAnsi="Arial" w:hint="cs"/>
          <w:noProof w:val="0"/>
          <w:rtl/>
        </w:rPr>
        <w:t xml:space="preserve">(להלן: </w:t>
      </w:r>
      <w:r w:rsidRPr="0037231D">
        <w:rPr>
          <w:rFonts w:ascii="Arial" w:hAnsi="Arial" w:hint="cs"/>
          <w:b/>
          <w:bCs/>
          <w:noProof w:val="0"/>
          <w:rtl/>
        </w:rPr>
        <w:t>"החלטת בית משפט קמא</w:t>
      </w:r>
      <w:r w:rsidR="0037231D" w:rsidRPr="0037231D">
        <w:rPr>
          <w:rFonts w:ascii="Arial" w:hAnsi="Arial" w:hint="cs"/>
          <w:b/>
          <w:bCs/>
          <w:noProof w:val="0"/>
          <w:rtl/>
        </w:rPr>
        <w:t>"</w:t>
      </w:r>
      <w:r w:rsidR="0037231D">
        <w:rPr>
          <w:rFonts w:ascii="Arial" w:hAnsi="Arial" w:hint="cs"/>
          <w:noProof w:val="0"/>
          <w:rtl/>
        </w:rPr>
        <w:t>)</w:t>
      </w:r>
    </w:p>
    <w:p w:rsidR="00D44FDE" w:rsidRDefault="00D44FDE" w:rsidP="0009615C">
      <w:pPr>
        <w:spacing w:line="360" w:lineRule="auto"/>
        <w:ind w:left="720" w:hanging="720"/>
        <w:jc w:val="both"/>
        <w:rPr>
          <w:rFonts w:ascii="Arial" w:hAnsi="Arial"/>
          <w:noProof w:val="0"/>
          <w:rtl/>
        </w:rPr>
      </w:pPr>
    </w:p>
    <w:p w:rsidR="00D44FDE" w:rsidRDefault="00D44FDE" w:rsidP="0009615C">
      <w:pPr>
        <w:spacing w:line="360" w:lineRule="auto"/>
        <w:ind w:left="720" w:hanging="720"/>
        <w:jc w:val="both"/>
        <w:rPr>
          <w:rFonts w:ascii="Arial" w:hAnsi="Arial"/>
          <w:noProof w:val="0"/>
          <w:rtl/>
        </w:rPr>
      </w:pPr>
    </w:p>
    <w:p w:rsidR="00D44FDE" w:rsidRDefault="00D44FDE" w:rsidP="0009615C">
      <w:pPr>
        <w:spacing w:line="360" w:lineRule="auto"/>
        <w:ind w:left="720" w:hanging="720"/>
        <w:jc w:val="both"/>
        <w:rPr>
          <w:rFonts w:ascii="Arial" w:hAnsi="Arial"/>
          <w:noProof w:val="0"/>
          <w:rtl/>
        </w:rPr>
      </w:pPr>
    </w:p>
    <w:p w:rsidR="00D44FDE" w:rsidRDefault="0037231D" w:rsidP="00F5341F">
      <w:pPr>
        <w:spacing w:line="360" w:lineRule="auto"/>
        <w:ind w:left="720" w:hanging="720"/>
        <w:jc w:val="both"/>
        <w:rPr>
          <w:rFonts w:ascii="Arial" w:hAnsi="Arial"/>
          <w:noProof w:val="0"/>
          <w:rtl/>
        </w:rPr>
      </w:pPr>
      <w:r>
        <w:rPr>
          <w:rFonts w:ascii="Arial" w:hAnsi="Arial" w:hint="cs"/>
          <w:noProof w:val="0"/>
          <w:rtl/>
        </w:rPr>
        <w:lastRenderedPageBreak/>
        <w:t>2.</w:t>
      </w:r>
      <w:r>
        <w:rPr>
          <w:rFonts w:ascii="Arial" w:hAnsi="Arial" w:hint="cs"/>
          <w:noProof w:val="0"/>
          <w:rtl/>
        </w:rPr>
        <w:tab/>
        <w:t xml:space="preserve">בהודעת הערעור, טען המערער כי החלטת בית משפט קמא ניתנה ללא זכות השימוע  והטיעון המגיעה לו, זכות להליך הוגן, שהיא זכות יסוד במשפט. </w:t>
      </w:r>
    </w:p>
    <w:p w:rsidR="0037231D" w:rsidRDefault="0037231D" w:rsidP="00F5341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לטענת המערער, שגה בית משפט קמא משהחליט לקטוע את המפגשים בינו לבין בתו הקטינה, מבלי שניתן לו יומו בבית המשפט, במיוחד שמדובר בהחלטה קריטית הפוגעת בזכויות ההוריות ופוגעת בזכויות הקטינה לקשר הורי, וזאת מבלי שניתנה לו זכות שימוע, לא נקבע דיון ולא נתבקשה עמדתו. המערער הדגיש כי אין מבוקש</w:t>
      </w:r>
      <w:r w:rsidR="00F5341F">
        <w:rPr>
          <w:rFonts w:ascii="Arial" w:hAnsi="Arial" w:hint="cs"/>
          <w:noProof w:val="0"/>
          <w:rtl/>
        </w:rPr>
        <w:t>ת</w:t>
      </w:r>
      <w:r>
        <w:rPr>
          <w:rFonts w:ascii="Arial" w:hAnsi="Arial" w:hint="cs"/>
          <w:noProof w:val="0"/>
          <w:rtl/>
        </w:rPr>
        <w:t xml:space="preserve"> התערבות בתוכנה של ההחלטה, אלא אך במתן זכות השימוע למבקש.  </w:t>
      </w:r>
    </w:p>
    <w:p w:rsidR="0037231D" w:rsidRDefault="0037231D" w:rsidP="0037231D">
      <w:pPr>
        <w:spacing w:line="360" w:lineRule="auto"/>
        <w:ind w:left="720" w:hanging="720"/>
        <w:jc w:val="both"/>
        <w:rPr>
          <w:rFonts w:ascii="Arial" w:hAnsi="Arial"/>
          <w:noProof w:val="0"/>
          <w:rtl/>
        </w:rPr>
      </w:pPr>
    </w:p>
    <w:p w:rsidR="003603C2" w:rsidRDefault="0037231D" w:rsidP="00B719BC">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בהחלטתי מיום 22/9/2024 קבעתי, כי יגובש מתווה מפגשים בין המערער לבין הקטינה ויוגש לבית משפט זה, תוך 14</w:t>
      </w:r>
      <w:r w:rsidR="006C6B5E">
        <w:rPr>
          <w:rFonts w:ascii="Arial" w:hAnsi="Arial" w:hint="cs"/>
          <w:noProof w:val="0"/>
          <w:rtl/>
        </w:rPr>
        <w:t xml:space="preserve"> יום ובכך יתייתר הדיון. בתגובה, טען המערער כי </w:t>
      </w:r>
      <w:r w:rsidR="003603C2">
        <w:rPr>
          <w:rFonts w:ascii="Arial" w:hAnsi="Arial" w:hint="cs"/>
          <w:noProof w:val="0"/>
          <w:rtl/>
        </w:rPr>
        <w:t xml:space="preserve">קבלת מתווה לא תרפא את הפגם שנוצר בבית משפט קמא, שכן זכותו להישמע בפני בית משפט קמא, במיוחד שמדובר בהחלטה גורלית. </w:t>
      </w:r>
    </w:p>
    <w:p w:rsidR="003603C2" w:rsidRDefault="003603C2" w:rsidP="003603C2">
      <w:pPr>
        <w:spacing w:line="360" w:lineRule="auto"/>
        <w:ind w:left="720" w:hanging="720"/>
        <w:jc w:val="both"/>
        <w:rPr>
          <w:rFonts w:ascii="Arial" w:hAnsi="Arial"/>
          <w:noProof w:val="0"/>
          <w:rtl/>
        </w:rPr>
      </w:pPr>
    </w:p>
    <w:p w:rsidR="00B719BC" w:rsidRDefault="00F80BDD" w:rsidP="00F5341F">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sidR="00B719BC">
        <w:rPr>
          <w:rFonts w:ascii="Arial" w:hAnsi="Arial" w:hint="cs"/>
          <w:noProof w:val="0"/>
          <w:rtl/>
        </w:rPr>
        <w:t xml:space="preserve">בשל עמדת </w:t>
      </w:r>
      <w:r w:rsidR="006C6B5E">
        <w:rPr>
          <w:rFonts w:ascii="Arial" w:hAnsi="Arial" w:hint="cs"/>
          <w:noProof w:val="0"/>
          <w:rtl/>
        </w:rPr>
        <w:t>המערער</w:t>
      </w:r>
      <w:r w:rsidR="00B719BC">
        <w:rPr>
          <w:rFonts w:ascii="Arial" w:hAnsi="Arial" w:hint="cs"/>
          <w:noProof w:val="0"/>
          <w:rtl/>
        </w:rPr>
        <w:t xml:space="preserve">, קבעתי </w:t>
      </w:r>
      <w:r w:rsidR="00F5341F">
        <w:rPr>
          <w:rFonts w:ascii="Arial" w:hAnsi="Arial" w:hint="cs"/>
          <w:noProof w:val="0"/>
          <w:rtl/>
        </w:rPr>
        <w:t xml:space="preserve">דיון במעמד הצדדים ליום 30/10/2024, </w:t>
      </w:r>
      <w:r w:rsidR="00B719BC">
        <w:rPr>
          <w:rFonts w:ascii="Arial" w:hAnsi="Arial" w:hint="cs"/>
          <w:noProof w:val="0"/>
          <w:rtl/>
        </w:rPr>
        <w:t xml:space="preserve">כאשר ההחלטה על הגשת מתווה למפגשים, נותרה בעינה. ב"כ המערער ביקשה לדחות את הדיון לחודש דצמבר ועל פי בקשתה, הדיון נדחה ליום 10/12/2024. </w:t>
      </w:r>
    </w:p>
    <w:p w:rsidR="00B719BC" w:rsidRDefault="00B719BC" w:rsidP="00B719BC">
      <w:pPr>
        <w:spacing w:line="360" w:lineRule="auto"/>
        <w:ind w:left="720" w:hanging="720"/>
        <w:jc w:val="both"/>
        <w:rPr>
          <w:rFonts w:ascii="Arial" w:hAnsi="Arial"/>
          <w:noProof w:val="0"/>
          <w:rtl/>
        </w:rPr>
      </w:pPr>
    </w:p>
    <w:p w:rsidR="001504BD" w:rsidRDefault="00B719BC" w:rsidP="00056D8F">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ביום 5/11/2024 הגיש ב"כ היועץ המשפטי לממשלה, במשרד הרווחה וביטחון החברתי, תשובה לערעור, פירט את הרקע בתמצית, את הקשר בין הקטינה</w:t>
      </w:r>
      <w:r w:rsidR="001504BD">
        <w:rPr>
          <w:rFonts w:ascii="Arial" w:hAnsi="Arial" w:hint="cs"/>
          <w:noProof w:val="0"/>
          <w:rtl/>
        </w:rPr>
        <w:t xml:space="preserve"> שנמצאת באמנה אצל סבתה,</w:t>
      </w:r>
      <w:r>
        <w:rPr>
          <w:rFonts w:ascii="Arial" w:hAnsi="Arial" w:hint="cs"/>
          <w:noProof w:val="0"/>
          <w:rtl/>
        </w:rPr>
        <w:t xml:space="preserve"> לבין הוריה, </w:t>
      </w:r>
      <w:r w:rsidR="001504BD">
        <w:rPr>
          <w:rFonts w:ascii="Arial" w:hAnsi="Arial" w:hint="cs"/>
          <w:noProof w:val="0"/>
          <w:rtl/>
        </w:rPr>
        <w:t xml:space="preserve">את סוגיית הסדרי הראייה שהינה סוגיה מורכבת שקשה לייצר בה יציבות ורצף מצד שני ההורים, המאחרים להגיע למפגשים על בסיס שבועי. הקטינה מצפה למפגשים עם הוריה והשינויים התכופים גורמים לה לאכזבה רבה, חוסר עקביות וחוסר יציבות. </w:t>
      </w:r>
    </w:p>
    <w:p w:rsidR="001504BD" w:rsidRDefault="001504BD" w:rsidP="001504BD">
      <w:pPr>
        <w:spacing w:line="360" w:lineRule="auto"/>
        <w:ind w:left="720" w:hanging="720"/>
        <w:jc w:val="both"/>
        <w:rPr>
          <w:rFonts w:ascii="Arial" w:hAnsi="Arial"/>
          <w:noProof w:val="0"/>
          <w:rtl/>
        </w:rPr>
      </w:pPr>
    </w:p>
    <w:p w:rsidR="001504BD" w:rsidRDefault="001504BD" w:rsidP="001504BD">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אם הקטינה הינה בנתק מול הקטינה ומול גורמי הרווחה. ועדה לתכנון וטיפול שהתכנסה ביום 3/7/2024 המליצה על הסדרי ראייה בין המערער לקטינה, כאשר המערער יאסוף את הקטינה ביום שלישי בסיום שעת הלימודים משער בית הספר, או מבית הסבתא, כאשר לא מתקיימים לימודים, ייקח אותה לטיפול רגשי ויחזיר אותה לבית הסבתא בשעה 20:00; בסוף שבוע אחת לשבועיים, המערער יאסוף את הקטינה ביום שישי בשעה 13:00 מבית הסבתא ויחזיר אותו במוצאי שבת בשעה 21:00. </w:t>
      </w:r>
    </w:p>
    <w:p w:rsidR="001504BD" w:rsidRDefault="001504BD" w:rsidP="001504BD">
      <w:pPr>
        <w:spacing w:line="360" w:lineRule="auto"/>
        <w:ind w:left="720" w:hanging="720"/>
        <w:jc w:val="both"/>
        <w:rPr>
          <w:rFonts w:ascii="Arial" w:hAnsi="Arial"/>
          <w:noProof w:val="0"/>
          <w:rtl/>
        </w:rPr>
      </w:pPr>
    </w:p>
    <w:p w:rsidR="001504BD" w:rsidRDefault="001504BD" w:rsidP="001504BD">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בדיון מקיף שנערך בבית משפט קמא ביום 15/7/2024, ניתנה התייחסות רחבה לאיחורים של המערער למפגשים, תוך שמיעת טיעוני המערער ל</w:t>
      </w:r>
      <w:r w:rsidR="00DB0F1C">
        <w:rPr>
          <w:rFonts w:ascii="Arial" w:hAnsi="Arial" w:hint="cs"/>
          <w:noProof w:val="0"/>
          <w:rtl/>
        </w:rPr>
        <w:t>גבי ה</w:t>
      </w:r>
      <w:r>
        <w:rPr>
          <w:rFonts w:ascii="Arial" w:hAnsi="Arial" w:hint="cs"/>
          <w:noProof w:val="0"/>
          <w:rtl/>
        </w:rPr>
        <w:t xml:space="preserve">סיבות לכך. </w:t>
      </w:r>
      <w:r w:rsidR="00DB0F1C">
        <w:rPr>
          <w:rFonts w:ascii="Arial" w:hAnsi="Arial" w:hint="cs"/>
          <w:noProof w:val="0"/>
          <w:rtl/>
        </w:rPr>
        <w:t xml:space="preserve">בסיום הדיון ניתנה החלטה כי לא יהיו איחורים למערער אלא במקרים מיוחדים מאוד, איחורים ללא סיבה ידווחו לבית המשפט ותינתן הוראה להפסקת המפגשים. </w:t>
      </w:r>
    </w:p>
    <w:p w:rsidR="00DB0F1C" w:rsidRDefault="00DB0F1C" w:rsidP="001504BD">
      <w:pPr>
        <w:spacing w:line="360" w:lineRule="auto"/>
        <w:ind w:left="720" w:hanging="720"/>
        <w:jc w:val="both"/>
        <w:rPr>
          <w:rFonts w:ascii="Arial" w:hAnsi="Arial"/>
          <w:noProof w:val="0"/>
          <w:rtl/>
        </w:rPr>
      </w:pPr>
    </w:p>
    <w:p w:rsidR="00DB0F1C" w:rsidRDefault="00DB0F1C" w:rsidP="00DB0F1C">
      <w:pPr>
        <w:spacing w:line="360" w:lineRule="auto"/>
        <w:ind w:left="720" w:hanging="720"/>
        <w:jc w:val="both"/>
        <w:rPr>
          <w:rFonts w:ascii="Arial" w:hAnsi="Arial"/>
          <w:noProof w:val="0"/>
          <w:rtl/>
        </w:rPr>
      </w:pPr>
      <w:r>
        <w:rPr>
          <w:rFonts w:ascii="Arial" w:hAnsi="Arial" w:hint="cs"/>
          <w:noProof w:val="0"/>
          <w:rtl/>
        </w:rPr>
        <w:lastRenderedPageBreak/>
        <w:t>8.</w:t>
      </w:r>
      <w:r>
        <w:rPr>
          <w:rFonts w:ascii="Arial" w:hAnsi="Arial" w:hint="cs"/>
          <w:noProof w:val="0"/>
          <w:rtl/>
        </w:rPr>
        <w:tab/>
        <w:t xml:space="preserve">בעקבות עדכון עו"ס חוק נוער מיום 14/8/2024, לפיו לא חל שינוי בהתנהלות המערער והוא מאחר לאסוף את הקטינה כדרך שגרה, הורה בית משפט קמא, ביום 15/8/2024 על הפסקת המפגשים וזאת עד לגיבוש מתווה מפגשים אחר בין הקטינה למערער. על החלטה זו הגיש כאמור, המערער בקשה לעיון חוזר ובית משפט קמא דחה בקשתו והבהיר, כי: </w:t>
      </w:r>
      <w:r>
        <w:rPr>
          <w:rFonts w:ascii="Arial" w:hAnsi="Arial" w:hint="cs"/>
          <w:b/>
          <w:bCs/>
          <w:noProof w:val="0"/>
          <w:rtl/>
        </w:rPr>
        <w:t>"אין בכוונתו לדון בסיבת כל איחור... איחורים אינם גזירת גורל אלא דרך התנהלות שניתן וצריך לשנות. ככל שיש למשיב קשיים תגובש תכנית מפגשים כזו שהמשיב יוכל לעמוד בה ללא איחורים..."</w:t>
      </w:r>
      <w:r>
        <w:rPr>
          <w:rFonts w:ascii="Arial" w:hAnsi="Arial" w:hint="cs"/>
          <w:noProof w:val="0"/>
          <w:rtl/>
        </w:rPr>
        <w:t xml:space="preserve">. </w:t>
      </w:r>
    </w:p>
    <w:p w:rsidR="00DB0F1C" w:rsidRDefault="00DB0F1C" w:rsidP="00DB0F1C">
      <w:pPr>
        <w:spacing w:line="360" w:lineRule="auto"/>
        <w:ind w:left="720" w:hanging="720"/>
        <w:jc w:val="both"/>
        <w:rPr>
          <w:rFonts w:ascii="Arial" w:hAnsi="Arial"/>
          <w:noProof w:val="0"/>
          <w:rtl/>
        </w:rPr>
      </w:pPr>
    </w:p>
    <w:p w:rsidR="001504BD" w:rsidRDefault="00DB0F1C" w:rsidP="00056D8F">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ביום 8/9/2024 הוגש לבית משפט קמא, ע"י עו"ס לחוק הנוער, מתווה מפגשים מוצע, שניתן לסכ</w:t>
      </w:r>
      <w:r w:rsidR="00F5341F">
        <w:rPr>
          <w:rFonts w:ascii="Arial" w:hAnsi="Arial" w:hint="cs"/>
          <w:noProof w:val="0"/>
          <w:rtl/>
        </w:rPr>
        <w:t>ם כי הינו</w:t>
      </w:r>
      <w:r>
        <w:rPr>
          <w:rFonts w:ascii="Arial" w:hAnsi="Arial" w:hint="cs"/>
          <w:noProof w:val="0"/>
          <w:rtl/>
        </w:rPr>
        <w:t xml:space="preserve"> זהה כמעט למתווה הקוד</w:t>
      </w:r>
      <w:r w:rsidR="00F115B1">
        <w:rPr>
          <w:rFonts w:ascii="Arial" w:hAnsi="Arial" w:hint="cs"/>
          <w:noProof w:val="0"/>
          <w:rtl/>
        </w:rPr>
        <w:t xml:space="preserve">ם והוסף לו כי </w:t>
      </w:r>
      <w:r w:rsidR="00F5341F">
        <w:rPr>
          <w:rFonts w:ascii="Arial" w:hAnsi="Arial" w:hint="cs"/>
          <w:noProof w:val="0"/>
          <w:rtl/>
        </w:rPr>
        <w:t>המערער מ</w:t>
      </w:r>
      <w:r>
        <w:rPr>
          <w:rFonts w:ascii="Arial" w:hAnsi="Arial" w:hint="cs"/>
          <w:noProof w:val="0"/>
          <w:rtl/>
        </w:rPr>
        <w:t xml:space="preserve">חויב להגיע </w:t>
      </w:r>
      <w:r w:rsidRPr="00F115B1">
        <w:rPr>
          <w:rFonts w:ascii="Arial" w:hAnsi="Arial" w:hint="cs"/>
          <w:b/>
          <w:bCs/>
          <w:noProof w:val="0"/>
          <w:u w:val="single"/>
          <w:rtl/>
        </w:rPr>
        <w:t>כחצי שעה</w:t>
      </w:r>
      <w:r>
        <w:rPr>
          <w:rFonts w:ascii="Arial" w:hAnsi="Arial" w:hint="cs"/>
          <w:noProof w:val="0"/>
          <w:rtl/>
        </w:rPr>
        <w:t xml:space="preserve"> לפני המפגש</w:t>
      </w:r>
      <w:r w:rsidR="00F115B1">
        <w:rPr>
          <w:rFonts w:ascii="Arial" w:hAnsi="Arial" w:hint="cs"/>
          <w:noProof w:val="0"/>
          <w:rtl/>
        </w:rPr>
        <w:t xml:space="preserve"> ו</w:t>
      </w:r>
      <w:r w:rsidR="00F115B1" w:rsidRPr="00F5341F">
        <w:rPr>
          <w:rFonts w:ascii="Arial" w:hAnsi="Arial" w:hint="cs"/>
          <w:noProof w:val="0"/>
          <w:u w:val="single"/>
          <w:rtl/>
        </w:rPr>
        <w:t>לעדכן</w:t>
      </w:r>
      <w:r w:rsidR="00F115B1">
        <w:rPr>
          <w:rFonts w:ascii="Arial" w:hAnsi="Arial" w:hint="cs"/>
          <w:noProof w:val="0"/>
          <w:rtl/>
        </w:rPr>
        <w:t xml:space="preserve"> את הסבתא חצי שעה לפני המפגש, שהוא אכן הגיע. </w:t>
      </w:r>
      <w:r>
        <w:rPr>
          <w:rFonts w:ascii="Arial" w:hAnsi="Arial" w:hint="cs"/>
          <w:noProof w:val="0"/>
          <w:rtl/>
        </w:rPr>
        <w:t xml:space="preserve">ככל שהמערער לא יגיע בזמן, הוא לא יכול לפגוש את הקטינה. </w:t>
      </w:r>
    </w:p>
    <w:p w:rsidR="00F115B1" w:rsidRDefault="00F115B1" w:rsidP="00F115B1">
      <w:pPr>
        <w:spacing w:line="360" w:lineRule="auto"/>
        <w:ind w:left="720" w:hanging="720"/>
        <w:jc w:val="both"/>
        <w:rPr>
          <w:rFonts w:ascii="Arial" w:hAnsi="Arial"/>
          <w:noProof w:val="0"/>
          <w:rtl/>
        </w:rPr>
      </w:pPr>
    </w:p>
    <w:p w:rsidR="00F115B1" w:rsidRDefault="00F115B1" w:rsidP="00F115B1">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המערער טען כי התקשורת בינו לבין הסבתא היא בעייתית, שכן לטענתו, היא לא עונה לו לטלפונים ובהמשך נוטה להאשים אותו בחוסר תיאום. בתגובה הודע לבית המשפט כי אין מתווה תקשורת חלופי שניתן להציע לאב, מלבד תקשורת בסיסית מול הסבתא, שעל המערער להודיע לסבתא מראש, האם הוא מגיע או מאחר למפגש. המערער נמנע ממתן תגובה עניינית למתווה המוצע, על מנת להשיב את קיום המפגשים בינו לבין הקטינה. </w:t>
      </w:r>
    </w:p>
    <w:p w:rsidR="00F115B1" w:rsidRDefault="00F115B1" w:rsidP="00F115B1">
      <w:pPr>
        <w:spacing w:line="360" w:lineRule="auto"/>
        <w:ind w:left="720" w:hanging="720"/>
        <w:jc w:val="both"/>
        <w:rPr>
          <w:rFonts w:ascii="Arial" w:hAnsi="Arial"/>
          <w:noProof w:val="0"/>
          <w:rtl/>
        </w:rPr>
      </w:pPr>
    </w:p>
    <w:p w:rsidR="004024D5" w:rsidRDefault="00F115B1" w:rsidP="004024D5">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לטענת ב"כ היועמ"ש, החלטת בית משפט קמא היא החלטה מבוססת, מידתית והולמת את מצבה של הקטינה וטובתה. הקטינה מצפה למפגשים עם המערער וכל שינוי במתכונת המפגשים יוצר אצלה אכזבה קשה, העדר עקביות וחוסר יציבות. החלטת בית משפט קמא מושא הערעור, לא ניתנה בחלל ריק. החלטה זו היא המשך ופועל יוצא להחלטה שניתנה במעמד הדיון, שנשמע ביום 15/7</w:t>
      </w:r>
      <w:r w:rsidR="00BE6962">
        <w:rPr>
          <w:rFonts w:ascii="Arial" w:hAnsi="Arial" w:hint="cs"/>
          <w:noProof w:val="0"/>
          <w:rtl/>
        </w:rPr>
        <w:t>/</w:t>
      </w:r>
      <w:r>
        <w:rPr>
          <w:rFonts w:ascii="Arial" w:hAnsi="Arial" w:hint="cs"/>
          <w:noProof w:val="0"/>
          <w:rtl/>
        </w:rPr>
        <w:t>2024, במסגרתו נשמעו בהרחבה טיעוניו של המערער לנושא האיחורים למפגשים ולסיבות. באותו מועד תוך התייחסות לטענותיו של המערער, ניתנה החלטה כי לא יהיו איחורים למערער, אלא במקרים מיוחדים מאוד. איחורים ללא סיבה, ידווחו לבי</w:t>
      </w:r>
      <w:r w:rsidR="004024D5">
        <w:rPr>
          <w:rFonts w:ascii="Arial" w:hAnsi="Arial" w:hint="cs"/>
          <w:noProof w:val="0"/>
          <w:rtl/>
        </w:rPr>
        <w:t>ת המשפט ותינתן הוראה להפסקת המפגשים. החלטת בית משפט קמא על הפסקת הביקורים, במצב הנתון בו המערער ממתן תגובה עניינית למתווה המוצע, על מנת להשיב את קיום המפגשים בינו לבין הקטינה, היא החלטה המשקפת היטב את טובתה של הקטינה, שזקוקה לעקביות, ביטחון ויציבות בהסדרי הראייה עם אביה.</w:t>
      </w:r>
    </w:p>
    <w:p w:rsidR="004024D5" w:rsidRDefault="004024D5" w:rsidP="004024D5">
      <w:pPr>
        <w:spacing w:line="360" w:lineRule="auto"/>
        <w:ind w:left="720" w:hanging="720"/>
        <w:jc w:val="both"/>
        <w:rPr>
          <w:rFonts w:ascii="Arial" w:hAnsi="Arial"/>
          <w:noProof w:val="0"/>
          <w:rtl/>
        </w:rPr>
      </w:pPr>
    </w:p>
    <w:p w:rsidR="00BE49B4" w:rsidRPr="00BE49B4" w:rsidRDefault="004024D5" w:rsidP="004024D5">
      <w:pPr>
        <w:spacing w:line="360" w:lineRule="auto"/>
        <w:ind w:left="720" w:hanging="720"/>
        <w:jc w:val="both"/>
        <w:rPr>
          <w:rFonts w:ascii="Arial" w:hAnsi="Arial"/>
          <w:noProof w:val="0"/>
          <w:rtl/>
        </w:rPr>
      </w:pPr>
      <w:r>
        <w:rPr>
          <w:rFonts w:ascii="Arial" w:hAnsi="Arial" w:hint="cs"/>
          <w:noProof w:val="0"/>
          <w:rtl/>
        </w:rPr>
        <w:t xml:space="preserve">12. </w:t>
      </w:r>
      <w:r>
        <w:rPr>
          <w:rFonts w:ascii="Arial" w:hAnsi="Arial"/>
          <w:noProof w:val="0"/>
          <w:rtl/>
        </w:rPr>
        <w:tab/>
      </w:r>
      <w:r w:rsidR="00BE49B4" w:rsidRPr="00BE49B4">
        <w:rPr>
          <w:rFonts w:ascii="Arial" w:hAnsi="Arial"/>
          <w:noProof w:val="0"/>
          <w:rtl/>
        </w:rPr>
        <w:t xml:space="preserve">דעתי אינה נוחה, בלשון המעטה, כך שקטינה אינה נמצאת בקשר ובמפגשים עם אף אחד מהוריה, </w:t>
      </w:r>
      <w:r>
        <w:rPr>
          <w:rFonts w:ascii="Arial" w:hAnsi="Arial" w:hint="cs"/>
          <w:noProof w:val="0"/>
          <w:rtl/>
        </w:rPr>
        <w:t xml:space="preserve">וזאת מיום </w:t>
      </w:r>
      <w:r>
        <w:rPr>
          <w:rFonts w:ascii="Arial" w:hAnsi="Arial"/>
          <w:noProof w:val="0"/>
          <w:rtl/>
        </w:rPr>
        <w:t>15/8/2024</w:t>
      </w:r>
      <w:r>
        <w:rPr>
          <w:rFonts w:ascii="Arial" w:hAnsi="Arial" w:hint="cs"/>
          <w:noProof w:val="0"/>
          <w:rtl/>
        </w:rPr>
        <w:t xml:space="preserve"> ועד למועד כתיבת פסק דיני זה, למעלה מחודשיים. </w:t>
      </w:r>
    </w:p>
    <w:p w:rsidR="00BE49B4" w:rsidRPr="00BE49B4" w:rsidRDefault="00BE49B4" w:rsidP="00BE49B4">
      <w:pPr>
        <w:spacing w:line="360" w:lineRule="auto"/>
        <w:jc w:val="both"/>
        <w:rPr>
          <w:rFonts w:ascii="Arial" w:hAnsi="Arial"/>
          <w:noProof w:val="0"/>
          <w:rtl/>
        </w:rPr>
      </w:pPr>
    </w:p>
    <w:p w:rsidR="004024D5" w:rsidRDefault="004024D5" w:rsidP="00F5341F">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זכות הטיעון והשימוע היא זכות חשובה ובסיסית בשיטת המשפט שלנו. כל האסמכתאות אליהן הפנתה ב"כ המערער, מקובלות עלי. יחד עם זאת, לא ניתן להשלים עם כך שאין כל </w:t>
      </w:r>
      <w:r>
        <w:rPr>
          <w:rFonts w:ascii="Arial" w:hAnsi="Arial" w:hint="cs"/>
          <w:noProof w:val="0"/>
          <w:rtl/>
        </w:rPr>
        <w:lastRenderedPageBreak/>
        <w:t>קשר של הקטינה עם אביה והמערער לא נתן הסכמתו למתווה המוצע, לפיו יחודשו ה</w:t>
      </w:r>
      <w:r w:rsidR="003F6174">
        <w:rPr>
          <w:rFonts w:ascii="Arial" w:hAnsi="Arial" w:hint="cs"/>
          <w:noProof w:val="0"/>
          <w:rtl/>
        </w:rPr>
        <w:t xml:space="preserve">מפגשים בינו לבין בתו, בכפוף לכך שהוא יגיע חצי שעה קודם לכן ויעדכן את הסבתא, ככל </w:t>
      </w:r>
      <w:r w:rsidR="00F5341F">
        <w:rPr>
          <w:rFonts w:ascii="Arial" w:hAnsi="Arial" w:hint="cs"/>
          <w:noProof w:val="0"/>
          <w:rtl/>
        </w:rPr>
        <w:t>ש</w:t>
      </w:r>
      <w:r w:rsidR="003F6174">
        <w:rPr>
          <w:rFonts w:ascii="Arial" w:hAnsi="Arial" w:hint="cs"/>
          <w:noProof w:val="0"/>
          <w:rtl/>
        </w:rPr>
        <w:t>יתעכב</w:t>
      </w:r>
      <w:r>
        <w:rPr>
          <w:rFonts w:ascii="Arial" w:hAnsi="Arial" w:hint="cs"/>
          <w:noProof w:val="0"/>
          <w:rtl/>
        </w:rPr>
        <w:t xml:space="preserve">. </w:t>
      </w:r>
    </w:p>
    <w:p w:rsidR="003F6174" w:rsidRDefault="003F6174" w:rsidP="003F6174">
      <w:pPr>
        <w:spacing w:line="360" w:lineRule="auto"/>
        <w:ind w:left="720" w:hanging="720"/>
        <w:jc w:val="both"/>
        <w:rPr>
          <w:rFonts w:ascii="Arial" w:hAnsi="Arial"/>
          <w:noProof w:val="0"/>
          <w:rtl/>
        </w:rPr>
      </w:pPr>
    </w:p>
    <w:p w:rsidR="00BE49B4" w:rsidRPr="00BE49B4" w:rsidRDefault="003F6174" w:rsidP="003F6174">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אין ספק, כי</w:t>
      </w:r>
      <w:r w:rsidR="00BE49B4" w:rsidRPr="00BE49B4">
        <w:rPr>
          <w:rFonts w:ascii="Arial" w:hAnsi="Arial"/>
          <w:noProof w:val="0"/>
          <w:rtl/>
        </w:rPr>
        <w:t xml:space="preserve"> כל שינוי ו/או עיכוב במתכונת המפגשים </w:t>
      </w:r>
      <w:r>
        <w:rPr>
          <w:rFonts w:ascii="Arial" w:hAnsi="Arial" w:hint="cs"/>
          <w:noProof w:val="0"/>
          <w:rtl/>
        </w:rPr>
        <w:t>בין האב לבין הקטינה</w:t>
      </w:r>
      <w:r w:rsidR="00BE49B4" w:rsidRPr="00BE49B4">
        <w:rPr>
          <w:rFonts w:ascii="Arial" w:hAnsi="Arial"/>
          <w:noProof w:val="0"/>
          <w:rtl/>
        </w:rPr>
        <w:t xml:space="preserve">, </w:t>
      </w:r>
      <w:r w:rsidR="004024D5">
        <w:rPr>
          <w:rFonts w:ascii="Arial" w:hAnsi="Arial"/>
          <w:noProof w:val="0"/>
          <w:rtl/>
        </w:rPr>
        <w:t>מאכזב את הקטינה ופוגע בה בבניית</w:t>
      </w:r>
      <w:r>
        <w:rPr>
          <w:rFonts w:ascii="Arial" w:hAnsi="Arial" w:hint="cs"/>
          <w:noProof w:val="0"/>
          <w:rtl/>
        </w:rPr>
        <w:t xml:space="preserve"> </w:t>
      </w:r>
      <w:r w:rsidR="00BE49B4" w:rsidRPr="00BE49B4">
        <w:rPr>
          <w:rFonts w:ascii="Arial" w:hAnsi="Arial"/>
          <w:noProof w:val="0"/>
          <w:rtl/>
        </w:rPr>
        <w:t>אמון ויציבות</w:t>
      </w:r>
      <w:r>
        <w:rPr>
          <w:rFonts w:ascii="Arial" w:hAnsi="Arial" w:hint="cs"/>
          <w:noProof w:val="0"/>
          <w:rtl/>
        </w:rPr>
        <w:t xml:space="preserve"> לטווח הקצר ולטווח הארוך</w:t>
      </w:r>
      <w:r w:rsidR="00BE49B4" w:rsidRPr="00BE49B4">
        <w:rPr>
          <w:rFonts w:ascii="Arial" w:hAnsi="Arial"/>
          <w:noProof w:val="0"/>
          <w:rtl/>
        </w:rPr>
        <w:t xml:space="preserve">, אך </w:t>
      </w:r>
      <w:r>
        <w:rPr>
          <w:rFonts w:ascii="Arial" w:hAnsi="Arial" w:hint="cs"/>
          <w:noProof w:val="0"/>
          <w:rtl/>
        </w:rPr>
        <w:t xml:space="preserve">אין ספק גם, כי </w:t>
      </w:r>
      <w:r w:rsidR="00BE49B4" w:rsidRPr="00BE49B4">
        <w:rPr>
          <w:rFonts w:ascii="Arial" w:hAnsi="Arial"/>
          <w:noProof w:val="0"/>
          <w:rtl/>
        </w:rPr>
        <w:t>העדר כל קשר ומפגש עם האב במשך חודשים כה רבים, גורם לנזק כבד לקטינה</w:t>
      </w:r>
      <w:r w:rsidR="00F5341F">
        <w:rPr>
          <w:rFonts w:ascii="Arial" w:hAnsi="Arial" w:hint="cs"/>
          <w:noProof w:val="0"/>
          <w:rtl/>
        </w:rPr>
        <w:t xml:space="preserve"> בטווח המ</w:t>
      </w:r>
      <w:r>
        <w:rPr>
          <w:rFonts w:ascii="Arial" w:hAnsi="Arial" w:hint="cs"/>
          <w:noProof w:val="0"/>
          <w:rtl/>
        </w:rPr>
        <w:t xml:space="preserve">ידי ובטווח הארוך. </w:t>
      </w:r>
      <w:r w:rsidR="00BE49B4" w:rsidRPr="00BE49B4">
        <w:rPr>
          <w:rFonts w:ascii="Arial" w:hAnsi="Arial"/>
          <w:noProof w:val="0"/>
          <w:rtl/>
        </w:rPr>
        <w:t xml:space="preserve">  </w:t>
      </w:r>
    </w:p>
    <w:p w:rsidR="00BE49B4" w:rsidRPr="00BE49B4" w:rsidRDefault="00BE49B4" w:rsidP="00BE49B4">
      <w:pPr>
        <w:spacing w:line="360" w:lineRule="auto"/>
        <w:jc w:val="both"/>
        <w:rPr>
          <w:rFonts w:ascii="Arial" w:hAnsi="Arial"/>
          <w:noProof w:val="0"/>
          <w:rtl/>
        </w:rPr>
      </w:pPr>
    </w:p>
    <w:p w:rsidR="00BE49B4" w:rsidRPr="00BE49B4" w:rsidRDefault="003F6174" w:rsidP="003F6174">
      <w:pPr>
        <w:spacing w:line="360" w:lineRule="auto"/>
        <w:ind w:left="720" w:hanging="720"/>
        <w:jc w:val="both"/>
        <w:rPr>
          <w:rFonts w:ascii="Arial" w:hAnsi="Arial"/>
          <w:noProof w:val="0"/>
          <w:rtl/>
        </w:rPr>
      </w:pPr>
      <w:r>
        <w:rPr>
          <w:rFonts w:ascii="Arial" w:hAnsi="Arial" w:hint="cs"/>
          <w:noProof w:val="0"/>
          <w:rtl/>
        </w:rPr>
        <w:t>15.</w:t>
      </w:r>
      <w:r>
        <w:rPr>
          <w:rFonts w:ascii="Arial" w:hAnsi="Arial"/>
          <w:noProof w:val="0"/>
          <w:rtl/>
        </w:rPr>
        <w:tab/>
      </w:r>
      <w:r>
        <w:rPr>
          <w:rFonts w:ascii="Arial" w:hAnsi="Arial" w:hint="cs"/>
          <w:noProof w:val="0"/>
          <w:rtl/>
        </w:rPr>
        <w:t xml:space="preserve">משכך </w:t>
      </w:r>
      <w:r w:rsidR="00BE49B4" w:rsidRPr="00BE49B4">
        <w:rPr>
          <w:rFonts w:ascii="Arial" w:hAnsi="Arial"/>
          <w:noProof w:val="0"/>
          <w:rtl/>
        </w:rPr>
        <w:t>אני מורה כי יחודשו מפגשי האב עם הקטינה, לפחות בשבת</w:t>
      </w:r>
      <w:r>
        <w:rPr>
          <w:rFonts w:ascii="Arial" w:hAnsi="Arial"/>
          <w:noProof w:val="0"/>
          <w:rtl/>
        </w:rPr>
        <w:t>ות, בהתאם למתווה מיום 15/7/2024</w:t>
      </w:r>
      <w:r>
        <w:rPr>
          <w:rFonts w:ascii="Arial" w:hAnsi="Arial" w:hint="cs"/>
          <w:noProof w:val="0"/>
          <w:rtl/>
        </w:rPr>
        <w:t>, כאשר על המערער לעדכן את הסבתא אם אין ביכולתו להגיע או כאשר הוא מאחר. הביקור הקרוב יהיה ביום שישי ה-15/11/2024.</w:t>
      </w:r>
    </w:p>
    <w:p w:rsidR="00BE49B4" w:rsidRPr="00BE49B4" w:rsidRDefault="00BE49B4" w:rsidP="003F6174">
      <w:pPr>
        <w:spacing w:line="360" w:lineRule="auto"/>
        <w:ind w:left="720"/>
        <w:jc w:val="both"/>
        <w:rPr>
          <w:rFonts w:ascii="Arial" w:hAnsi="Arial"/>
          <w:noProof w:val="0"/>
          <w:rtl/>
        </w:rPr>
      </w:pPr>
      <w:r w:rsidRPr="00BE49B4">
        <w:rPr>
          <w:rFonts w:ascii="Arial" w:hAnsi="Arial"/>
          <w:noProof w:val="0"/>
          <w:rtl/>
        </w:rPr>
        <w:t xml:space="preserve">עו"ס לחוק הנוער מוסמכת להרחיב את המפגשים גם באמצע השבוע ותגיש דיווח </w:t>
      </w:r>
      <w:r w:rsidR="003F6174">
        <w:rPr>
          <w:rFonts w:ascii="Arial" w:hAnsi="Arial" w:hint="cs"/>
          <w:noProof w:val="0"/>
          <w:rtl/>
        </w:rPr>
        <w:t xml:space="preserve">לבית משפט זה </w:t>
      </w:r>
      <w:r w:rsidRPr="00BE49B4">
        <w:rPr>
          <w:rFonts w:ascii="Arial" w:hAnsi="Arial"/>
          <w:noProof w:val="0"/>
          <w:rtl/>
        </w:rPr>
        <w:t>עד ליום 20/11/2024.</w:t>
      </w:r>
    </w:p>
    <w:p w:rsidR="00BE49B4" w:rsidRPr="00BE49B4" w:rsidRDefault="00BE49B4" w:rsidP="00BE49B4">
      <w:pPr>
        <w:spacing w:line="360" w:lineRule="auto"/>
        <w:jc w:val="both"/>
        <w:rPr>
          <w:rFonts w:ascii="Arial" w:hAnsi="Arial"/>
          <w:noProof w:val="0"/>
          <w:rtl/>
        </w:rPr>
      </w:pPr>
    </w:p>
    <w:p w:rsidR="00694556" w:rsidRDefault="003F6174" w:rsidP="003F6174">
      <w:pPr>
        <w:spacing w:line="360" w:lineRule="auto"/>
        <w:ind w:left="720" w:hanging="720"/>
        <w:jc w:val="both"/>
        <w:rPr>
          <w:rFonts w:ascii="Arial" w:hAnsi="Arial"/>
          <w:noProof w:val="0"/>
          <w:rtl/>
        </w:rPr>
      </w:pPr>
      <w:r>
        <w:rPr>
          <w:rFonts w:ascii="Arial" w:hAnsi="Arial" w:hint="cs"/>
          <w:noProof w:val="0"/>
          <w:rtl/>
        </w:rPr>
        <w:t>16.</w:t>
      </w:r>
      <w:r>
        <w:rPr>
          <w:rFonts w:ascii="Arial" w:hAnsi="Arial"/>
          <w:noProof w:val="0"/>
          <w:rtl/>
        </w:rPr>
        <w:tab/>
      </w:r>
      <w:r w:rsidR="00BE49B4" w:rsidRPr="00BE49B4">
        <w:rPr>
          <w:rFonts w:ascii="Arial" w:hAnsi="Arial"/>
          <w:noProof w:val="0"/>
          <w:rtl/>
        </w:rPr>
        <w:t>אני בדעה שיש ממש בטענת האב, כי הפסקת המפגשים בינו לבין הקטינה, מבלי שעמדתו נשמעה, פוגעת בזכותו הדיונית ויותר מכך, בזכותה של הקטינה. חזקה על בית משפט קמא שיקבע מתווה ביקורים יציב וקבוע עבור הקטינה באופן השומר על טובתה.  הפסקת ביקורים היא האמצעי האחרון שיש לנקוט בו ולבטח לאחר שנשמע המערער ונבחנו טענותיו.</w:t>
      </w:r>
    </w:p>
    <w:p w:rsidR="003F6174" w:rsidRDefault="003F6174" w:rsidP="003F6174">
      <w:pPr>
        <w:spacing w:line="360" w:lineRule="auto"/>
        <w:ind w:left="720" w:hanging="720"/>
        <w:jc w:val="both"/>
        <w:rPr>
          <w:rFonts w:ascii="Arial" w:hAnsi="Arial"/>
          <w:noProof w:val="0"/>
          <w:rtl/>
        </w:rPr>
      </w:pPr>
    </w:p>
    <w:p w:rsidR="003F6174" w:rsidRDefault="003F6174" w:rsidP="003F6174">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לפיכך, אציע לצדדים כי יוסכם שהדיון יוחזר לבית משפט קמא לשמיעת טענות המערער ולבחינת טובת הקטינה. עמדת הצדדים להצעה זו תוגש עד ליום 20/11/2024. </w:t>
      </w:r>
    </w:p>
    <w:p w:rsidR="003F6174" w:rsidRDefault="003F6174" w:rsidP="003F6174">
      <w:pPr>
        <w:spacing w:line="360" w:lineRule="auto"/>
        <w:ind w:left="720" w:hanging="720"/>
        <w:jc w:val="both"/>
        <w:rPr>
          <w:rFonts w:ascii="Arial" w:hAnsi="Arial"/>
          <w:noProof w:val="0"/>
          <w:rtl/>
        </w:rPr>
      </w:pPr>
    </w:p>
    <w:p w:rsidR="003F6174" w:rsidRPr="003F6174" w:rsidRDefault="003F6174" w:rsidP="003F6174">
      <w:pPr>
        <w:spacing w:line="360" w:lineRule="auto"/>
        <w:ind w:left="720" w:hanging="720"/>
        <w:jc w:val="both"/>
        <w:rPr>
          <w:rFonts w:ascii="Arial" w:hAnsi="Arial"/>
          <w:b/>
          <w:bCs/>
          <w:noProof w:val="0"/>
          <w:u w:val="single"/>
          <w:rtl/>
        </w:rPr>
      </w:pPr>
      <w:r>
        <w:rPr>
          <w:rFonts w:ascii="Arial" w:hAnsi="Arial" w:hint="cs"/>
          <w:noProof w:val="0"/>
          <w:rtl/>
        </w:rPr>
        <w:t>18.</w:t>
      </w:r>
      <w:r>
        <w:rPr>
          <w:rFonts w:ascii="Arial" w:hAnsi="Arial" w:hint="cs"/>
          <w:noProof w:val="0"/>
          <w:rtl/>
        </w:rPr>
        <w:tab/>
      </w:r>
      <w:r w:rsidRPr="003F6174">
        <w:rPr>
          <w:rFonts w:ascii="Arial" w:hAnsi="Arial" w:hint="cs"/>
          <w:b/>
          <w:bCs/>
          <w:noProof w:val="0"/>
          <w:u w:val="single"/>
          <w:rtl/>
        </w:rPr>
        <w:t xml:space="preserve">המזכירות תמציא החלטתי זו לצדדים ולעו"ס לסדרי דין. </w:t>
      </w:r>
    </w:p>
    <w:p w:rsidR="004935FB" w:rsidRDefault="004935FB">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E5ED4" w:rsidP="00633C4F">
      <w:pPr>
        <w:spacing w:line="360" w:lineRule="auto"/>
        <w:ind w:left="3600" w:firstLine="720"/>
      </w:pPr>
      <w:sdt>
        <w:sdtPr>
          <w:rPr>
            <w:rtl/>
          </w:rPr>
          <w:alias w:val="MergeField"/>
          <w:tag w:val="1237"/>
          <w:id w:val="1289936145"/>
        </w:sdtPr>
        <w:sdtEndPr/>
        <w:sdtContent>
          <w:r w:rsidR="003F4208">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ED4" w:rsidRDefault="008E5ED4">
      <w:r>
        <w:separator/>
      </w:r>
    </w:p>
  </w:endnote>
  <w:endnote w:type="continuationSeparator" w:id="0">
    <w:p w:rsidR="008E5ED4" w:rsidRDefault="008E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6D2" w:rsidRDefault="001546D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546D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546D2">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6D2" w:rsidRDefault="001546D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ED4" w:rsidRDefault="008E5ED4">
      <w:r>
        <w:separator/>
      </w:r>
    </w:p>
  </w:footnote>
  <w:footnote w:type="continuationSeparator" w:id="0">
    <w:p w:rsidR="008E5ED4" w:rsidRDefault="008E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6D2" w:rsidRDefault="001546D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8E5ED4" w:rsidP="002051B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ענ"א</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50748-09-24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צ</w:t>
              </w:r>
              <w:r w:rsidR="002051B0">
                <w:rPr>
                  <w:rFonts w:hint="cs"/>
                  <w:b/>
                  <w:bCs/>
                  <w:noProof w:val="0"/>
                  <w:sz w:val="26"/>
                  <w:szCs w:val="26"/>
                  <w:rtl/>
                </w:rPr>
                <w:t>'</w:t>
              </w:r>
              <w:r w:rsidR="00FB3C14">
                <w:rPr>
                  <w:b/>
                  <w:bCs/>
                  <w:noProof w:val="0"/>
                  <w:sz w:val="26"/>
                  <w:szCs w:val="26"/>
                  <w:rtl/>
                </w:rPr>
                <w:t xml:space="preserve"> נ' מחלקה לשירותים חברתיים מערב חיפה - עו"ס נוער ואח'</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6D2" w:rsidRDefault="001546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CF540E"/>
    <w:multiLevelType w:val="hybridMultilevel"/>
    <w:tmpl w:val="2AEC2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AA6AFD"/>
    <w:multiLevelType w:val="hybridMultilevel"/>
    <w:tmpl w:val="C1B49F68"/>
    <w:lvl w:ilvl="0" w:tplc="3330193E">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751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75119&amp;lt;/CaseID&amp;gt;_x000d__x000a_        &amp;lt;CaseMonth&amp;gt;9&amp;lt;/CaseMonth&amp;gt;_x000d__x000a_        &amp;lt;CaseYear&amp;gt;2024&amp;lt;/CaseYear&amp;gt;_x000d__x000a_        &amp;lt;CaseNumber&amp;gt;50748&amp;lt;/CaseNumber&amp;gt;_x000d__x000a_        &amp;lt;NumeratorGroupID&amp;gt;1&amp;lt;/NumeratorGroupID&amp;gt;_x000d__x000a_        &amp;lt;CaseName&amp;gt;צ&amp;#39;יזיק נ&amp;#39; מחלקה לשירותים חברתיים מערב חיפה - עו&amp;quot;ס נוער ואח&amp;#39;&amp;lt;/CaseName&amp;gt;_x000d__x000a_        &amp;lt;CourtID&amp;gt;13&amp;lt;/CourtID&amp;gt;_x000d__x000a_        &amp;lt;CaseTypeID&amp;gt;7&amp;lt;/CaseTypeID&amp;gt;_x000d__x000a_        &amp;lt;CaseInterestID&amp;gt;68&amp;lt;/CaseInterestID&amp;gt;_x000d__x000a_        &amp;lt;CaseJudgeName&amp;gt;אספרנצה אלון&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50748-09-24&amp;lt;/CaseDisplayIdentifier&amp;gt;_x000d__x000a_        &amp;lt;CaseTypeDesc&amp;gt;ענ&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9-19T07:00:00+03:00&amp;lt;/CaseOpenDate&amp;gt;_x000d__x000a_        &amp;lt;PleaTypeID&amp;gt;6&amp;lt;/PleaTypeID&amp;gt;_x000d__x000a_        &amp;lt;CourtLevelID&amp;gt;2&amp;lt;/CourtLevelID&amp;gt;_x000d__x000a_        &amp;lt;CourtLevelCaseTypeInterestID&amp;gt;1673&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משפט לנוער בבית המשפט המחוזי בחיפה&amp;lt;/CourtDisplayName&amp;gt;_x000d__x000a_        &amp;lt;IsAllStartDataCollected&amp;gt;true&amp;lt;/IsAllStartDataCollected&amp;gt;_x000d__x000a_        &amp;lt;IsMainCase&amp;gt;true&amp;lt;/IsMainCase&amp;gt;_x000d__x000a_        &amp;lt;CaseDesc&amp;gt;החלטה מיום 7.10.24  נשלחה לעו&amp;quot;ס בפקס ידנ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75119&amp;lt;/CaseID&amp;gt;_x000d__x000a_        &amp;lt;CaseMonth&amp;gt;9&amp;lt;/CaseMonth&amp;gt;_x000d__x000a_        &amp;lt;CaseYear&amp;gt;2024&amp;lt;/CaseYear&amp;gt;_x000d__x000a_        &amp;lt;CaseNumber&amp;gt;50748&amp;lt;/CaseNumber&amp;gt;_x000d__x000a_        &amp;lt;NumeratorGroupID&amp;gt;1&amp;lt;/NumeratorGroupID&amp;gt;_x000d__x000a_        &amp;lt;CaseName&amp;gt;צ&amp;#39;יזיק נ&amp;#39; מחלקה לשירותים חברתיים מערב חיפה - עו&amp;quot;ס נוער ואח&amp;#39;&amp;lt;/CaseName&amp;gt;_x000d__x000a_        &amp;lt;CourtID&amp;gt;13&amp;lt;/CourtID&amp;gt;_x000d__x000a_        &amp;lt;CaseTypeID&amp;gt;7&amp;lt;/CaseTypeID&amp;gt;_x000d__x000a_        &amp;lt;CaseInterestID&amp;gt;68&amp;lt;/CaseInterestID&amp;gt;_x000d__x000a_        &amp;lt;CaseJudgeName&amp;gt;אספרנצה אלון&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50748-09-24&amp;lt;/CaseDisplayIdentifier&amp;gt;_x000d__x000a_        &amp;lt;CaseTypeDesc&amp;gt;ענ&amp;quot;א&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9-19T07:00:00+03:00&amp;lt;/CaseOpenDate&amp;gt;_x000d__x000a_        &amp;lt;PleaTypeID&amp;gt;6&amp;lt;/PleaTypeID&amp;gt;_x000d__x000a_        &amp;lt;CourtLevelID&amp;gt;2&amp;lt;/CourtLevelID&amp;gt;_x000d__x000a_        &amp;lt;CourtLevelCaseTypeInterestID&amp;gt;1673&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משפט לנוער בבית המשפט המחוזי בחיפה&amp;lt;/CourtDisplayName&amp;gt;_x000d__x000a_        &amp;lt;IsAllStartDataCollected&amp;gt;true&amp;lt;/IsAllStartDataCollected&amp;gt;_x000d__x000a_        &amp;lt;IsMainCase&amp;gt;true&amp;lt;/IsMainCase&amp;gt;_x000d__x000a_        &amp;lt;CaseDesc&amp;gt;החלטה מיום 7.10.24  נשלחה לעו&amp;quot;ס בפקס יד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68798&amp;lt;/DecisionID&amp;gt;_x000d__x000a_        &amp;lt;DecisionName&amp;gt;פסק דין  שניתנה ע&amp;quot;י  אספרנצה אלון&amp;lt;/DecisionName&amp;gt;_x000d__x000a_        &amp;lt;DecisionStatusID&amp;gt;1&amp;lt;/DecisionStatusID&amp;gt;_x000d__x000a_        &amp;lt;DecisionStatusChangeDate&amp;gt;2024-11-06T13:21:41.903+02:00&amp;lt;/DecisionStatusChangeDate&amp;gt;_x000d__x000a_        &amp;lt;DecisionSignatureDate&amp;gt;2024-11-06T12:07:22.037+02:00&amp;lt;/DecisionSignatureDate&amp;gt;_x000d__x000a_        &amp;lt;DecisionSignatureUserID&amp;gt;057955775@GOV.IL&amp;lt;/DecisionSignatureUserID&amp;gt;_x000d__x000a_        &amp;lt;DecisionCreateDate&amp;gt;2024-11-06T12:12:34.767+02:00&amp;lt;/DecisionCreateDate&amp;gt;_x000d__x000a_        &amp;lt;DecisionChangeDate&amp;gt;2024-11-06T13:21:41.963+02: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71629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DecisionDisplayName&amp;gt;פסק דין  שניתנה ע&amp;quot;י  אספרנצה אלון&amp;lt;/DecisionDisplayName&amp;gt;_x000d__x000a_        &amp;lt;IsScanned&amp;gt;false&amp;lt;/IsScanned&amp;gt;_x000d__x000a_        &amp;lt;DecisionSignatureUserName&amp;gt;אספרנצה אל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5868798&amp;lt;/DecisionID&amp;gt;_x000d__x000a_        &amp;lt;CaseID&amp;gt;81975119&amp;lt;/CaseID&amp;gt;_x000d__x000a_        &amp;lt;IsOriginal&amp;gt;true&amp;lt;/IsOriginal&amp;gt;_x000d__x000a_        &amp;lt;IsDeleted&amp;gt;false&amp;lt;/IsDeleted&amp;gt;_x000d__x000a_        &amp;lt;CaseName&amp;gt;צ&amp;#39;יזיק נ&amp;#39; מחלקה לשירותים חברתיים מערב חיפה - עו&amp;quot;ס נוער ואח&amp;#39;&amp;lt;/CaseName&amp;gt;_x000d__x000a_        &amp;lt;CaseDisplayIdentifier&amp;gt;50748-09-24 ענ&amp;quot;א&amp;lt;/CaseDisplayIdentifier&amp;gt;_x000d__x000a_      &amp;lt;/dt_DecisionCase&amp;gt;_x000d__x000a_    &amp;lt;/DecisionDS&amp;gt;_x000d__x000a_  &amp;lt;/diffgr:diffgram&amp;gt;_x000d__x000a_&amp;lt;/DecisionDS&amp;gt;"/>
    <w:docVar w:name="DecisionID" w:val="155868798"/>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56D8F"/>
    <w:rsid w:val="0009615C"/>
    <w:rsid w:val="000C00F3"/>
    <w:rsid w:val="000D4A02"/>
    <w:rsid w:val="001072A9"/>
    <w:rsid w:val="00116149"/>
    <w:rsid w:val="00121F97"/>
    <w:rsid w:val="001277D7"/>
    <w:rsid w:val="00132017"/>
    <w:rsid w:val="0014234E"/>
    <w:rsid w:val="00145A87"/>
    <w:rsid w:val="001504BD"/>
    <w:rsid w:val="001546D2"/>
    <w:rsid w:val="001C4003"/>
    <w:rsid w:val="001F5474"/>
    <w:rsid w:val="002051B0"/>
    <w:rsid w:val="002352F7"/>
    <w:rsid w:val="0027277D"/>
    <w:rsid w:val="002B5EC0"/>
    <w:rsid w:val="003603C2"/>
    <w:rsid w:val="0037231D"/>
    <w:rsid w:val="00381D3A"/>
    <w:rsid w:val="003823DA"/>
    <w:rsid w:val="003F4208"/>
    <w:rsid w:val="003F6174"/>
    <w:rsid w:val="004024D5"/>
    <w:rsid w:val="004259BB"/>
    <w:rsid w:val="0043595F"/>
    <w:rsid w:val="0047645A"/>
    <w:rsid w:val="004935FB"/>
    <w:rsid w:val="004D49A3"/>
    <w:rsid w:val="004D50AC"/>
    <w:rsid w:val="004E6E3C"/>
    <w:rsid w:val="005124F1"/>
    <w:rsid w:val="00522CAC"/>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A04E3"/>
    <w:rsid w:val="006C6B5E"/>
    <w:rsid w:val="006E1A53"/>
    <w:rsid w:val="007056AA"/>
    <w:rsid w:val="00744F41"/>
    <w:rsid w:val="007A24FE"/>
    <w:rsid w:val="007A35AA"/>
    <w:rsid w:val="007B3461"/>
    <w:rsid w:val="007F1048"/>
    <w:rsid w:val="00820005"/>
    <w:rsid w:val="00846D27"/>
    <w:rsid w:val="008610A7"/>
    <w:rsid w:val="008E1332"/>
    <w:rsid w:val="008E5ED4"/>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719BC"/>
    <w:rsid w:val="00B80CBD"/>
    <w:rsid w:val="00BC3369"/>
    <w:rsid w:val="00BC7514"/>
    <w:rsid w:val="00BE49B4"/>
    <w:rsid w:val="00BE6962"/>
    <w:rsid w:val="00BF77EE"/>
    <w:rsid w:val="00C32E0F"/>
    <w:rsid w:val="00C42BF9"/>
    <w:rsid w:val="00C83E56"/>
    <w:rsid w:val="00CC63CE"/>
    <w:rsid w:val="00D319B3"/>
    <w:rsid w:val="00D36A71"/>
    <w:rsid w:val="00D44FDE"/>
    <w:rsid w:val="00D53924"/>
    <w:rsid w:val="00D60849"/>
    <w:rsid w:val="00D96D8C"/>
    <w:rsid w:val="00DA755B"/>
    <w:rsid w:val="00DB0F1C"/>
    <w:rsid w:val="00DD337E"/>
    <w:rsid w:val="00E00B6F"/>
    <w:rsid w:val="00E44DDF"/>
    <w:rsid w:val="00E54642"/>
    <w:rsid w:val="00E97908"/>
    <w:rsid w:val="00ED6411"/>
    <w:rsid w:val="00EF03D3"/>
    <w:rsid w:val="00EF3ED0"/>
    <w:rsid w:val="00F115B1"/>
    <w:rsid w:val="00F17E56"/>
    <w:rsid w:val="00F5341F"/>
    <w:rsid w:val="00F80BDD"/>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E49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291383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F24CF"/>
    <w:rsid w:val="00B40AEB"/>
    <w:rsid w:val="00B65812"/>
    <w:rsid w:val="00CC5512"/>
    <w:rsid w:val="00D410E1"/>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277696992</CasePartyID>
        <PartyTypeID>2</PartyTypeID>
        <ActivityStatusID>1</ActivityStatusID>
        <PartyAliasID>23</PartyAliasID>
        <PartyAliasName>בא כוח משיבים</PartyAliasName>
        <LegalEntityID>398709</LegalEntityID>
        <CaseLegalEntityID>132346330</CaseLegalEntityID>
        <AuthenticationTypeID>4</AuthenticationTypeID>
        <AuthenticationTypeName>מ.ר.</AuthenticationTypeName>
        <LegalEntityNumber>19247</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רון סנדרס</FullName>
        <FirstName>רון</FirstName>
        <LastName>סנדרס</LastName>
        <PartyPropertyName/>
        <AuthenticationTypeAndNumber>מ.ר. 26577</AuthenticationTypeAndNumber>
        <RepresentatedOrRepresentativesNames>רון סנדרס</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277698560</CasePartyID>
        <PartyTypeID>2</PartyTypeID>
        <ActivityStatusID>1</ActivityStatusID>
        <PartyAliasID>23</PartyAliasID>
        <PartyAliasName>בא כוח משיבים</PartyAliasName>
        <LegalEntityID>403265</LegalEntityID>
        <CaseLegalEntityID>132346848</CaseLegalEntityID>
        <AuthenticationTypeID>4</AuthenticationTypeID>
        <AuthenticationTypeName>מ.ר.</AuthenticationTypeName>
        <LegalEntityNumber>26577</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שמעיה 22  דירה 10 אלעד </FullAddress>
        <MotionID>0</MotionID>
        <CasePleaID>0</CasePleaID>
        <FatherName xml:space="preserve">        </FatherName>
        <LinkedCaseID>0</LinkedCaseID>
        <PartyID>2</PartyID>
        <CasePartyCategoryID>2</CasePartyCategoryID>
        <LegalEntityAddressID>2104299</LegalEntityAddressID>
        <PleaTypeID>6</PleaTypeID>
        <LawyerOfficeName>משרד עו"ד: רון סנדרס</LawyerOfficeName>
        <LawyerOfficeID>443909</LawyerOfficeID>
        <GroupPartyAlias/>
        <IsConverted>false</IsConverted>
        <LegalEntityNameID>24249</LegalEntityNameID>
        <RepresentatedNamesOfAssistant/>
        <LegalEntityTypeID>4</LegalEntityTypeID>
        <IsVerdictExists>false</IsVerdictExists>
        <IsAsirAzir>false</IsAsirAzir>
        <MainAndSecSpec/>
        <IsPublicationProhibited>false</IsPublicationProhibited>
        <PublicationProhibitedFullName>רון סנדרס</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ברק צ'יזיק</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277696836</CasePartyID>
        <PartyTypeID>2</PartyTypeID>
        <ActivityStatusID>1</ActivityStatusID>
        <PartyAliasID>24</PartyAliasID>
        <PartyAliasName>בא כוח מערערים</PartyAliasName>
        <OrdinalNumber>1</OrdinalNumber>
        <LegalEntityID>12679244</LegalEntityID>
        <CaseLegalEntityID>132346294</CaseLegalEntityID>
        <AuthenticationTypeID>4</AuthenticationTypeID>
        <AuthenticationTypeName>מ.ר.</AuthenticationTypeName>
        <LegalEntityNumber>46799</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שער פלמר 1 חיפה דירה 229</FullAddress>
        <EmailAddress>gila.barzilay@gmail.com</EmailAddress>
        <MotionID>0</MotionID>
        <CasePleaID>0</CasePleaID>
        <LinkedCaseID>0</LinkedCaseID>
        <PartyID>1</PartyID>
        <CasePartyCategoryID>2</CasePartyCategoryID>
        <LegalEntityAddressID>82043467</LegalEntityAddressID>
        <LegalEntityEmailAddressID>68003986</LegalEntityEmailAddressID>
        <PleaTypeID>6</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MainAndSecSpec/>
        <IsPublicationProhibited>false</IsPublicationProhibited>
        <PublicationProhibitedFullName>גילה ברזילי נודלמן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ברק צ'יזיק</FullName>
        <FirstName>ברק</FirstName>
        <LastName>ציזיק</LastName>
        <PartyPropertyName/>
        <AuthenticationTypeAndNumber>ת"ז 035807965</AuthenticationTypeAndNumber>
        <RepresentatedOrRepresentativesNames>גילה ברזילי נודלמן</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277696832</CasePartyID>
        <PartyTypeID>1</PartyTypeID>
        <ActivityStatusID>1</ActivityStatusID>
        <PartyAliasID>5</PartyAliasID>
        <PartyAliasName>מערער</PartyAliasName>
        <OrdinalNumber>1</OrdinalNumber>
        <LegalEntityID>33133537</LegalEntityID>
        <CaseLegalEntityID>132346290</CaseLegalEntityID>
        <AuthenticationTypeID>1</AuthenticationTypeID>
        <AuthenticationTypeName>ת"ז</AuthenticationTypeName>
        <LegalEntityNumber>035807965</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קריית ספר 13/5 ראשון לציון </FullAddress>
        <MotionID>0</MotionID>
        <CasePleaID>0</CasePleaID>
        <FatherName>משה</FatherName>
        <LinkedCaseID>0</LinkedCaseID>
        <PartyID>1</PartyID>
        <CasePartyCategoryID>2</CasePartyCategoryID>
        <LegalEntityAddressID>90972901</LegalEntityAddressID>
        <PleaTypeID>6</PleaTypeID>
        <GroupPartyAlias>מערערים</GroupPartyAlias>
        <IsConverted>false</IsConverted>
        <LegalEntityRegisteredNameID>10897212</LegalEntityRegisteredNameID>
        <LegalEntityNameID>96139391</LegalEntityNameID>
        <RepresentatedNamesOfAssistant/>
        <LegalEntityTypeID>1</LegalEntityTypeID>
        <IsVerdictExists>false</IsVerdictExists>
        <IsAsirAzir>false</IsAsirAzir>
        <MainAndSecSpec/>
        <IsPublicationProhibited>false</IsPublicationProhibited>
        <PublicationProhibitedFullName>ברק צ'יזיק</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מחלקה לשירותים חברתיים מערב חיפה - עו"ס נוער</FullName>
        <LastName>מחלקה לשירותים חברתיים מערב חיפה - עו"ס נוער</LastName>
        <PartyPropertyName/>
        <AuthenticationTypeAndNumber>רשויות מקומיות 500298009</AuthenticationTypeAndNumber>
        <RepresentatedOrRepresentativesNames>שירי אלוני</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277696834</CasePartyID>
        <PartyTypeID>1</PartyTypeID>
        <ActivityStatusID>1</ActivityStatusID>
        <PartyAliasID>4</PartyAliasID>
        <PartyAliasName>משיב</PartyAliasName>
        <OrdinalNumber>1</OrdinalNumber>
        <LegalEntityID>7526846</LegalEntityID>
        <CaseLegalEntityID>132346292</CaseLegalEntityID>
        <AuthenticationTypeID>14</AuthenticationTypeID>
        <AuthenticationTypeName>רשויות מקומיות</AuthenticationTypeName>
        <LegalEntityNumber>500298009</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שי עגנון 12 חיפה </FullAddress>
        <MotionID>0</MotionID>
        <CasePleaID>0</CasePleaID>
        <LinkedCaseID>0</LinkedCaseID>
        <PartyID>2</PartyID>
        <CasePartyCategoryID>2</CasePartyCategoryID>
        <LegalEntityAddressID>7552371</LegalEntityAddressID>
        <PleaTypeID>6</PleaTypeID>
        <GroupPartyAlias>משיבים</GroupPartyAlias>
        <IsConverted>false</IsConverted>
        <LegalEntityRegisteredNameID>10415688</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מערב חיפה - עו"ס נוער</PublicationProhibitedFullName>
      </CaseParties>
      <CaseParties>
        <PartyTypeName>צד</PartyTypeName>
        <ProceedingType>כתב טענות עיקרי</ProceedingType>
        <PleaName>הודעת ערעור</PleaName>
        <PartyBelonging>צד ב'</PartyBelonging>
        <RoleName>משיב 4</RoleName>
        <IsSubProceeding>FALSE</IsSubProceeding>
        <FullName>רון סנדרס (אפוטרופוס לדין)</FullName>
        <FirstName>רון</FirstName>
        <LastName>סנדרס</LastName>
        <PartyPropertyID>22</PartyPropertyID>
        <PartyPropertyName/>
        <AuthenticationTypeAndNumber>ת"ז </AuthenticationTypeAndNumber>
        <RepresentatedOrRepresentativesNames>רון סנדרס</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277698535</CasePartyID>
        <PartyTypeID>1</PartyTypeID>
        <ActivityStatusID>1</ActivityStatusID>
        <PartyAliasID>4</PartyAliasID>
        <PartyAliasName>משיב</PartyAliasName>
        <OrdinalNumber>4</OrdinalNumber>
        <LegalEntityID>82973197</LegalEntityID>
        <CaseLegalEntityID>132346838</CaseLegalEntityID>
        <AuthenticationTypeID>1</AuthenticationTypeID>
        <AuthenticationTypeName>ת"ז</AuthenticationTypeName>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
        <MotionID>0</MotionID>
        <CasePleaID>0</CasePleaID>
        <LinkedCaseID>0</LinkedCaseID>
        <PartyID>2</PartyID>
        <CasePartyCategoryID>2</CasePartyCategoryID>
        <PleaTypeID>6</PleaTypeID>
        <GroupPartyAlias>משיבים</GroupPartyAlias>
        <IsConverted>false</IsConverted>
        <LegalEntityNameID>98237557</LegalEntityNameID>
        <RepresentatedNamesOfAssistant/>
        <LegalEntityTypeID>1</LegalEntityTypeID>
        <IsVerdictExists>false</IsVerdictExists>
        <IsAsirAzir>false</IsAsirAzir>
        <MainAndSecSpec/>
        <IsPublicationProhibited>false</IsPublicationProhibited>
        <PublicationProhibitedFullName>רון סנדרס (אפוטרופוס לדין)</PublicationProhibitedFullName>
      </CaseParties>
    </CasePartiesSelectionDS>
    <DecisionName>פסק דין  שניתנה ע"י  אספרנצה אלון</DecisionName>
    <CourtDisplayName>בית משפט לנוער בבית המשפט המחוזי בחיפה</CourtDisplayName>
    <IsCaseJudgePanel>false</IsCaseJudgePanel>
    <DecisionSignatureDate>2024-11-06T12:07:22.0365248+02:00</DecisionSignatureDate>
    <OpenCaseDate>2024-09-19T07:00:00+03:00</OpenCaseDate>
    <CaseFeeSum>0.000</CaseFeeSum>
    <DecisionTypeID>2</DecisionTypeID>
    <DecisionSignatureUserName>אספרנצה אלון</DecisionSignatureUserName>
    <DecisionSignatureDateHebrew>2024-11-06T12:07:22.0365248+02:00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צ'יזיק נ' מחלקה לשירותים חברתיים מערב חיפה - עו"ס נוער ואח'</CaseName>
    <DecisionNumberInCase>7</DecisionNumberInCase>
  </dt_Decision>
  <dt_DecisionCase>
    <DecisionID>0</DecisionID>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277696992</CasePartyID>
        <PartyTypeID>2</PartyTypeID>
        <ActivityStatusID>1</ActivityStatusID>
        <PartyAliasID>23</PartyAliasID>
        <PartyAliasName>בא כוח משיבים</PartyAliasName>
        <LegalEntityID>398709</LegalEntityID>
        <CaseLegalEntityID>132346330</CaseLegalEntityID>
        <AuthenticationTypeID>4</AuthenticationTypeID>
        <AuthenticationTypeName>מ.ר.</AuthenticationTypeName>
        <LegalEntityNumber>19247</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MainAndSecSpec/>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רון סנדרס</FullName>
        <FirstName>רון</FirstName>
        <LastName>סנדרס</LastName>
        <PartyPropertyName/>
        <AuthenticationTypeAndNumber>מ.ר. 26577</AuthenticationTypeAndNumber>
        <RepresentatedOrRepresentativesNames>רון סנדרס</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277698560</CasePartyID>
        <PartyTypeID>2</PartyTypeID>
        <ActivityStatusID>1</ActivityStatusID>
        <PartyAliasID>23</PartyAliasID>
        <PartyAliasName>בא כוח משיבים</PartyAliasName>
        <LegalEntityID>403265</LegalEntityID>
        <CaseLegalEntityID>132346848</CaseLegalEntityID>
        <AuthenticationTypeID>4</AuthenticationTypeID>
        <AuthenticationTypeName>מ.ר.</AuthenticationTypeName>
        <LegalEntityNumber>26577</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שמעיה 22  דירה 10 אלעד </FullAddress>
        <MotionID>0</MotionID>
        <CasePleaID>0</CasePleaID>
        <FatherName xml:space="preserve">        </FatherName>
        <LinkedCaseID>0</LinkedCaseID>
        <PartyID>2</PartyID>
        <CasePartyCategoryID>2</CasePartyCategoryID>
        <LegalEntityAddressID>2104299</LegalEntityAddressID>
        <PleaTypeID>6</PleaTypeID>
        <LawyerOfficeName>משרד עו"ד: רון סנדרס</LawyerOfficeName>
        <LawyerOfficeID>443909</LawyerOfficeID>
        <GroupPartyAlias/>
        <IsConverted>false</IsConverted>
        <LegalEntityNameID>24249</LegalEntityNameID>
        <RepresentatedNamesOfAssistant/>
        <LegalEntityTypeID>4</LegalEntityTypeID>
        <IsVerdictExists>false</IsVerdictExists>
        <IsAsirAzir>false</IsAsirAzir>
        <MainAndSecSpec/>
        <IsPublicationProhibited>false</IsPublicationProhibited>
        <PublicationProhibitedFullName>רון סנדרס</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גילה ברזילי נודלמן</FullName>
        <FirstName>גילה</FirstName>
        <LastName>ברזילי נודלמן</LastName>
        <PartyPropertyName/>
        <AuthenticationTypeAndNumber>מ.ר. 46799</AuthenticationTypeAndNumber>
        <RepresentatedOrRepresentativesNames>ברק צ'יזיק</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277696836</CasePartyID>
        <PartyTypeID>2</PartyTypeID>
        <ActivityStatusID>1</ActivityStatusID>
        <PartyAliasID>24</PartyAliasID>
        <PartyAliasName>בא כוח מערערים</PartyAliasName>
        <OrdinalNumber>1</OrdinalNumber>
        <LegalEntityID>12679244</LegalEntityID>
        <CaseLegalEntityID>132346294</CaseLegalEntityID>
        <AuthenticationTypeID>4</AuthenticationTypeID>
        <AuthenticationTypeName>מ.ר.</AuthenticationTypeName>
        <LegalEntityNumber>46799</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שער פלמר 1 חיפה דירה 229</FullAddress>
        <EmailAddress>gila.barzilay@gmail.com</EmailAddress>
        <MotionID>0</MotionID>
        <CasePleaID>0</CasePleaID>
        <LinkedCaseID>0</LinkedCaseID>
        <PartyID>1</PartyID>
        <CasePartyCategoryID>2</CasePartyCategoryID>
        <LegalEntityAddressID>82043467</LegalEntityAddressID>
        <LegalEntityEmailAddressID>68003986</LegalEntityEmailAddressID>
        <PleaTypeID>6</PleaTypeID>
        <LawyerOfficeName>משרד עו"ד גילה ברזילי נודלמן</LawyerOfficeName>
        <LawyerOfficeID>12679245</LawyerOfficeID>
        <GroupPartyAlias/>
        <IsConverted>false</IsConverted>
        <LegalEntityNameID>75487605</LegalEntityNameID>
        <RepresentatedNamesOfAssistant/>
        <LegalEntityTypeID>4</LegalEntityTypeID>
        <IsVerdictExists>false</IsVerdictExists>
        <IsAsirAzir>false</IsAsirAzir>
        <MainAndSecSpec/>
        <IsPublicationProhibited>false</IsPublicationProhibited>
        <PublicationProhibitedFullName>גילה ברזילי נודלמן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ברק צ'יזיק</FullName>
        <FirstName>ברק</FirstName>
        <LastName>ציזיק</LastName>
        <PartyPropertyName/>
        <AuthenticationTypeAndNumber>ת"ז 035807965</AuthenticationTypeAndNumber>
        <RepresentatedOrRepresentativesNames>גילה ברזילי נודלמן</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277696832</CasePartyID>
        <PartyTypeID>1</PartyTypeID>
        <ActivityStatusID>1</ActivityStatusID>
        <PartyAliasID>5</PartyAliasID>
        <PartyAliasName>מערער</PartyAliasName>
        <OrdinalNumber>1</OrdinalNumber>
        <LegalEntityID>33133537</LegalEntityID>
        <CaseLegalEntityID>132346290</CaseLegalEntityID>
        <AuthenticationTypeID>1</AuthenticationTypeID>
        <AuthenticationTypeName>ת"ז</AuthenticationTypeName>
        <LegalEntityNumber>035807965</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קריית ספר 13/5 ראשון לציון </FullAddress>
        <MotionID>0</MotionID>
        <CasePleaID>0</CasePleaID>
        <FatherName>משה</FatherName>
        <LinkedCaseID>0</LinkedCaseID>
        <PartyID>1</PartyID>
        <CasePartyCategoryID>2</CasePartyCategoryID>
        <LegalEntityAddressID>90972901</LegalEntityAddressID>
        <PleaTypeID>6</PleaTypeID>
        <GroupPartyAlias>מערערים</GroupPartyAlias>
        <IsConverted>false</IsConverted>
        <LegalEntityRegisteredNameID>10897212</LegalEntityRegisteredNameID>
        <LegalEntityNameID>96139391</LegalEntityNameID>
        <RepresentatedNamesOfAssistant/>
        <LegalEntityTypeID>1</LegalEntityTypeID>
        <IsVerdictExists>false</IsVerdictExists>
        <IsAsirAzir>false</IsAsirAzir>
        <MainAndSecSpec/>
        <IsPublicationProhibited>false</IsPublicationProhibited>
        <PublicationProhibitedFullName>ברק צ'יזיק</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מחלקה לשירותים חברתיים מערב חיפה - עו"ס נוער</FullName>
        <LastName>מחלקה לשירותים חברתיים מערב חיפה - עו"ס נוער</LastName>
        <PartyPropertyName/>
        <AuthenticationTypeAndNumber>רשויות מקומיות 500298009</AuthenticationTypeAndNumber>
        <RepresentatedOrRepresentativesNames>שירי אלוני</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277696834</CasePartyID>
        <PartyTypeID>1</PartyTypeID>
        <ActivityStatusID>1</ActivityStatusID>
        <PartyAliasID>4</PartyAliasID>
        <PartyAliasName>משיב</PartyAliasName>
        <OrdinalNumber>1</OrdinalNumber>
        <LegalEntityID>7526846</LegalEntityID>
        <CaseLegalEntityID>132346292</CaseLegalEntityID>
        <AuthenticationTypeID>14</AuthenticationTypeID>
        <AuthenticationTypeName>רשויות מקומיות</AuthenticationTypeName>
        <LegalEntityNumber>500298009</LegalEntityNumber>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שי עגנון 12 חיפה </FullAddress>
        <MotionID>0</MotionID>
        <CasePleaID>0</CasePleaID>
        <LinkedCaseID>0</LinkedCaseID>
        <PartyID>2</PartyID>
        <CasePartyCategoryID>2</CasePartyCategoryID>
        <LegalEntityAddressID>7552371</LegalEntityAddressID>
        <PleaTypeID>6</PleaTypeID>
        <GroupPartyAlias>משיבים</GroupPartyAlias>
        <IsConverted>false</IsConverted>
        <LegalEntityRegisteredNameID>10415688</LegalEntityRegisteredNameID>
        <RepresentatedNamesOfAssistant/>
        <LegalEntityTypeID>3</LegalEntityTypeID>
        <IsVerdictExists>false</IsVerdictExists>
        <IsAsirAzir>false</IsAsirAzir>
        <MainAndSecSpec/>
        <IsPublicationProhibited>false</IsPublicationProhibited>
        <PublicationProhibitedFullName>מחלקה לשירותים חברתיים מערב חיפה - עו"ס נוער</PublicationProhibitedFullName>
      </CaseParties>
      <CaseParties>
        <PartyTypeName>צד</PartyTypeName>
        <ProceedingType>כתב טענות עיקרי</ProceedingType>
        <PleaName>הודעת ערעור</PleaName>
        <PartyBelonging>צד ב'</PartyBelonging>
        <RoleName>משיב 4</RoleName>
        <IsSubProceeding>FALSE</IsSubProceeding>
        <FullName>רון סנדרס (אפוטרופוס לדין)</FullName>
        <FirstName>רון</FirstName>
        <LastName>סנדרס</LastName>
        <PartyPropertyID>22</PartyPropertyID>
        <PartyPropertyName/>
        <AuthenticationTypeAndNumber>ת"ז </AuthenticationTypeAndNumber>
        <RepresentatedOrRepresentativesNames>רון סנדרס</RepresentatedOrRepresentativesNames>
        <RepresentatedOrRepresentativesCount>1</RepresentatedOrRepresentativesCount>
        <InvitedBy/>
        <CaseID>81975119</CaseID>
        <CaseJudicialPersonPresentationDS>
          <CaseJudicalPersonActive>
            <CaseID>81975119</CaseID>
            <JudicialPersonID>057955775@GOV.IL</JudicialPersonID>
            <JudicialPersonTypeID>1</JudicialPersonTypeID>
            <JudicialTypeID>1</JudicialTypeID>
            <IsChairman>false</IsChairman>
            <TreatmentStartDate>2024-09-19T09:54:41.093+03:00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277698535</CasePartyID>
        <PartyTypeID>1</PartyTypeID>
        <ActivityStatusID>1</ActivityStatusID>
        <PartyAliasID>4</PartyAliasID>
        <PartyAliasName>משיב</PartyAliasName>
        <OrdinalNumber>4</OrdinalNumber>
        <LegalEntityID>82973197</LegalEntityID>
        <CaseLegalEntityID>132346838</CaseLegalEntityID>
        <AuthenticationTypeID>1</AuthenticationTypeID>
        <AuthenticationTypeName>ת"ז</AuthenticationTypeName>
        <IsMainPartyType>true</IsMainPartyType>
        <CaseDisplayIdentifier>50748-09-24</CaseDisplayIdentifier>
        <CaseTypeID>7</CaseTypeID>
        <CaseTypeName>ערעור נוער  אזרחי (ענ"א)</CaseTypeName>
        <CaseName>צ'יזיק נ' מחלקה לשירותים חברתיים מערב חיפה - עו"ס נוער ואח'</CaseName>
        <FullAddress/>
        <MotionID>0</MotionID>
        <CasePleaID>0</CasePleaID>
        <LinkedCaseID>0</LinkedCaseID>
        <PartyID>2</PartyID>
        <CasePartyCategoryID>2</CasePartyCategoryID>
        <PleaTypeID>6</PleaTypeID>
        <GroupPartyAlias>משיבים</GroupPartyAlias>
        <IsConverted>false</IsConverted>
        <LegalEntityNameID>98237557</LegalEntityNameID>
        <RepresentatedNamesOfAssistant/>
        <LegalEntityTypeID>1</LegalEntityTypeID>
        <IsVerdictExists>false</IsVerdictExists>
        <IsAsirAzir>false</IsAsirAzir>
        <MainAndSecSpec/>
        <IsPublicationProhibited>false</IsPublicationProhibited>
        <PublicationProhibitedFullName>רון סנדרס (אפוטרופוס לדין)</PublicationProhibitedFullName>
      </CaseParties>
    </CasePartiesSelectionDS>
    <CaseName>צ'יזיק נ' מחלקה לשירותים חברתיים מערב חיפה - עו"ס נוער ואח'</CaseName>
    <CaseDisplayIdentifier>50748-09-24</CaseDisplayIdentifier>
    <CaseInterestID>68</CaseInterestID>
    <CaseTypeShortName>ענ"א</CaseTypeShortName>
  </dt_DecisionCase>
  <dt_DecisionJudgePanel>
    <JudgeID>057955775@GOV.IL</JudgeID>
    <DisplayName>אספרנצה אלון</DisplayName>
    <RoleName>שופט</RoleName>
    <UserTitleName>שופטת</UserTitleName>
  </dt_DecisionJudgePanel>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03-9090650</Fax>
    <Phone>03-9191750</Phone>
    <PartyID>2</PartyID>
    <PartyTypeID>2</PartyTypeID>
    <DecisionID>0</DecisionID>
    <StreetName>שמעיה 22  דירה 10</StreetName>
    <CityName>אלעד</CityName>
    <FullName>רון סנדרס</FullName>
    <IsPublicationProhibited>false</IsPublicationProhibited>
  </dt_LegalEntityDetails>
  <dt_LegalEntityDetails>
    <PartyID>1</PartyID>
    <PartyTypeID>1</PartyTypeID>
    <DecisionID>0</DecisionID>
    <StreetName>קריית ספר 13/5</StreetName>
    <CityName>ראשון לציון</CityName>
    <FullName>ברק צ'יזיק</FullName>
    <IsPublicationProhibited>false</IsPublicationProhibited>
  </dt_LegalEntityDetails>
  <dt_LegalEntityDetails>
    <Fax>04-8515976</Fax>
    <Phone>04-8537231</Phone>
    <PartyID>2</PartyID>
    <PartyTypeID>1</PartyTypeID>
    <DecisionID>0</DecisionID>
    <StreetName>שי עגנון 12</StreetName>
    <ZipCode>35519</ZipCode>
    <CityName>חיפה</CityName>
    <FullName> מחלקה לשירותים חברתיים מערב חיפה - עו"ס נוער</FullName>
    <IsPublicationProhibited>false</IsPublicationProhibited>
  </dt_LegalEntityDetails>
  <dt_LegalEntityDetails>
    <Fax>04-6942135</Fax>
    <Phone>074-7042771</Phone>
    <AddressDesc>דירה 229</AddressDesc>
    <PartyID>1</PartyID>
    <PartyTypeID>2</PartyTypeID>
    <DecisionID>0</DecisionID>
    <StreetName>שער פלמר 1</StreetName>
    <CityName>חיפה</CityName>
    <FullName>גילה ברזילי נודלמן</FullName>
    <Email>gila.barzilay@gmail.com</Email>
    <IsPublicationProhibited>false</IsPublicationProhibited>
  </dt_LegalEntityDetails>
  <dt_LegalEntityDetails>
    <PartyID>2</PartyID>
    <PartyTypeID>1</PartyTypeID>
    <DecisionID>0</DecisionID>
    <FullName>רון סנדרס</FullName>
    <IsPublicationProhibited>false</IsPublicationProhibited>
  </dt_LegalEntityDetails>
  <dt_CaseJudicalPersonActive>
    <CaseJudicalPerson>שופטת אספרנצה אלון</CaseJudicalPerson>
  </dt_CaseJudicalPersonActive>
  <dt_Sitting>
    <FutureSittingDate>2024-12-10T12:30:00+02:00</FutureSittingDate>
    <NextSittingTypeID>5</NextSittingTypeID>
    <NextMeetingDisplayName>שופטת אספרנצה אלון</NextMeetingDisplayName>
    <NextMeetingRoleName>שופט</NextMeetingRoleName>
    <NextMeetingUserTitleName>שופטת</NextMeetingUserTitleName>
    <NextMeetingUserUPN>057955775@GOV.IL</NextMeetingUserUPN>
  </dt_Sitting>
</DecisionTemplateDS>
</file>

<file path=customXml/itemProps1.xml><?xml version="1.0" encoding="utf-8"?>
<ds:datastoreItem xmlns:ds="http://schemas.openxmlformats.org/officeDocument/2006/customXml" ds:itemID="{34008C33-E28D-40CA-A7A6-96A9786AFE2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1180</Words>
  <Characters>5903</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2024-11-06T10:57:00Z</cp:lastPrinted>
  <dcterms:created xsi:type="dcterms:W3CDTF">2024-12-18T10:39:00Z</dcterms:created>
  <dcterms:modified xsi:type="dcterms:W3CDTF">2024-12-18T10:39:00Z</dcterms:modified>
</cp:coreProperties>
</file>